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DF4" w:rsidRPr="000C746A" w:rsidRDefault="00A31DF4" w:rsidP="00A31DF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Oncologia molecolare </w:t>
      </w:r>
    </w:p>
    <w:p w:rsidR="00A31DF4" w:rsidRPr="000C746A" w:rsidRDefault="00A31DF4" w:rsidP="00A31DF4">
      <w:pPr>
        <w:jc w:val="both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0C746A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Gruppo di ricerca:</w:t>
      </w:r>
    </w:p>
    <w:p w:rsidR="00A31DF4" w:rsidRPr="000C746A" w:rsidRDefault="00A31DF4" w:rsidP="00A31DF4">
      <w:pPr>
        <w:jc w:val="both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0C746A">
        <w:rPr>
          <w:rFonts w:ascii="Arial" w:eastAsia="Times New Roman" w:hAnsi="Arial" w:cs="Arial"/>
          <w:color w:val="000000" w:themeColor="text1"/>
          <w:kern w:val="0"/>
          <w14:ligatures w14:val="none"/>
        </w:rPr>
        <w:t>Laura Marrone (RTDA)</w:t>
      </w:r>
    </w:p>
    <w:p w:rsidR="004E7AEC" w:rsidRPr="000C746A" w:rsidRDefault="004E7AEC" w:rsidP="00A31DF4">
      <w:pPr>
        <w:jc w:val="both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0C746A">
        <w:rPr>
          <w:rFonts w:ascii="Arial" w:eastAsia="Times New Roman" w:hAnsi="Arial" w:cs="Arial"/>
          <w:color w:val="000000" w:themeColor="text1"/>
          <w:kern w:val="0"/>
          <w14:ligatures w14:val="none"/>
        </w:rPr>
        <w:t>Marialuisa Alessandra Vecchione (Personale tecnico amministrativo)</w:t>
      </w:r>
    </w:p>
    <w:p w:rsidR="00725345" w:rsidRPr="00E65EFF" w:rsidRDefault="00725345" w:rsidP="00A31DF4">
      <w:pPr>
        <w:jc w:val="both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0C746A">
        <w:rPr>
          <w:rFonts w:ascii="Arial" w:eastAsia="Times New Roman" w:hAnsi="Arial" w:cs="Arial"/>
          <w:color w:val="000000" w:themeColor="text1"/>
          <w:kern w:val="0"/>
          <w14:ligatures w14:val="none"/>
        </w:rPr>
        <w:t>Chiara Malasomma</w:t>
      </w:r>
      <w:r w:rsidR="004E7AEC" w:rsidRPr="000C746A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(Dottoranda)</w:t>
      </w:r>
    </w:p>
    <w:p w:rsidR="00A31DF4" w:rsidRPr="000C746A" w:rsidRDefault="00A31DF4" w:rsidP="00A31DF4">
      <w:pPr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</w:pP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La nostra ricerca è focalizzata sulle vie di trasduzione del segnale alterate nel cancro e responsabili della chemio-resistenza. Abbiamo scoperto alcuni ruoli per le proteine leganti FK506 (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FKBPs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) nell'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aggressivita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̀ dei tumori. In particolare, abbiamo identificato per la prima volta l'espressione deregolata di FKBP51 nel melanoma, chiarendo il suo ruolo nel sostenere i programmi genetici di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staminalita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̀ del cancro e la EMT, e nel mediare la resistenza indotta da NF-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κB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ai trattamenti anti-cancro. Più recentemente abbiamo avviato uno studio nello sull'immunotolleranza al cancro e, in particolare, il nostro obiettivo è quello di chiarire il ruolo di una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isoforma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di s</w:t>
      </w:r>
      <w:r w:rsidR="00554550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p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licing del gene </w:t>
      </w:r>
      <w:r w:rsidRPr="000C746A">
        <w:rPr>
          <w:rFonts w:ascii="ArialMT" w:eastAsia="Times New Roman" w:hAnsi="ArialMT" w:cs="Times New Roman"/>
          <w:i/>
          <w:iCs/>
          <w:color w:val="000000" w:themeColor="text1"/>
          <w:kern w:val="0"/>
          <w14:ligatures w14:val="none"/>
        </w:rPr>
        <w:t>FKBP5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, FKBP51</w:t>
      </w:r>
      <w:r w:rsidRPr="000C746A">
        <w:rPr>
          <w:rFonts w:ascii="ArialMT" w:eastAsia="Times New Roman" w:hAnsi="ArialMT" w:cs="Times New Roman"/>
          <w:color w:val="000000" w:themeColor="text1"/>
          <w:kern w:val="0"/>
          <w:vertAlign w:val="superscript"/>
          <w14:ligatures w14:val="none"/>
        </w:rPr>
        <w:t>s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, identificata dal nostro gruppo nel 2015. Questa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isoforma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è generata dal melanoma per sopprimere l'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immunita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̀ indesiderata, attraverso l'interazione di PD-L1 con il suo recettore PD1. L'espressione di FKBP51</w:t>
      </w:r>
      <w:r w:rsidRPr="000C746A">
        <w:rPr>
          <w:rFonts w:ascii="ArialMT" w:eastAsia="Times New Roman" w:hAnsi="ArialMT" w:cs="Times New Roman"/>
          <w:color w:val="000000" w:themeColor="text1"/>
          <w:kern w:val="0"/>
          <w:vertAlign w:val="superscript"/>
          <w14:ligatures w14:val="none"/>
        </w:rPr>
        <w:t>s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ne</w:t>
      </w:r>
      <w:r w:rsidR="00554550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i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PBMCs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rappresenta una signature immunitaria dei pazienti con melanoma, che è associata all'immunotolleranza indotta dal tumore ed è utile per monitorare il paziente sottoposto ad immunoterapia. FKBP51</w:t>
      </w:r>
      <w:r w:rsidRPr="000C746A">
        <w:rPr>
          <w:rFonts w:ascii="ArialMT" w:eastAsia="Times New Roman" w:hAnsi="ArialMT" w:cs="Times New Roman"/>
          <w:color w:val="000000" w:themeColor="text1"/>
          <w:kern w:val="0"/>
          <w:vertAlign w:val="superscript"/>
          <w14:ligatures w14:val="none"/>
        </w:rPr>
        <w:t xml:space="preserve">s 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aumenta l'espressione di PD-L1 agendo come una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foldasi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nelle modifiche post-traslazionali di PD-L1. Stiamo anche approfondendo la funzione di </w:t>
      </w:r>
      <w:r w:rsidR="00554550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FKBP51</w:t>
      </w:r>
      <w:r w:rsidR="00554550" w:rsidRPr="000C746A">
        <w:rPr>
          <w:rFonts w:ascii="ArialMT" w:eastAsia="Times New Roman" w:hAnsi="ArialMT" w:cs="Times New Roman"/>
          <w:color w:val="000000" w:themeColor="text1"/>
          <w:kern w:val="0"/>
          <w:vertAlign w:val="superscript"/>
          <w14:ligatures w14:val="none"/>
        </w:rPr>
        <w:t>s</w:t>
      </w:r>
      <w:r w:rsidR="00554550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nell'espressione di PD-L1 nel cancro. Abbiamo scoperto che FKBP51</w:t>
      </w:r>
      <w:r w:rsidRPr="000C746A">
        <w:rPr>
          <w:rFonts w:ascii="ArialMT" w:eastAsia="Times New Roman" w:hAnsi="ArialMT" w:cs="Times New Roman"/>
          <w:color w:val="000000" w:themeColor="text1"/>
          <w:kern w:val="0"/>
          <w:vertAlign w:val="superscript"/>
          <w14:ligatures w14:val="none"/>
        </w:rPr>
        <w:t>s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supporta </w:t>
      </w:r>
      <w:r w:rsidR="00554550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i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macrofagi </w:t>
      </w:r>
      <w:r w:rsidR="00554550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associati al tumore in pazienti con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melanoma e glioblastoma.</w:t>
      </w:r>
      <w:r w:rsidR="00B309FD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Piu recentemente, la ricerca su PD-L1 ha aperto gli orizzonti a nuove funzioni di questo “</w:t>
      </w:r>
      <w:r w:rsidR="00B309FD" w:rsidRPr="000C746A">
        <w:rPr>
          <w:rFonts w:ascii="ArialMT" w:eastAsia="Times New Roman" w:hAnsi="ArialMT" w:cs="Times New Roman"/>
          <w:i/>
          <w:iCs/>
          <w:color w:val="000000" w:themeColor="text1"/>
          <w:kern w:val="0"/>
          <w14:ligatures w14:val="none"/>
        </w:rPr>
        <w:t>checkpoint</w:t>
      </w:r>
      <w:r w:rsidR="00B309FD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” immunitario, diverse dalla modulazione negativa dell’immunità, che si esplica in comparti diversi dalla membrana, in particolare il nucleo, e che coinvolge varianti PD-L1 non canoniche, con funzioni strategiche di regolazione </w:t>
      </w:r>
      <w:proofErr w:type="gramStart"/>
      <w:r w:rsidR="00B309FD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del</w:t>
      </w:r>
      <w:r w:rsidR="00282FB3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</w:t>
      </w:r>
      <w:r w:rsidR="00B309FD" w:rsidRPr="000C746A">
        <w:rPr>
          <w:rFonts w:ascii="ArialMT" w:eastAsia="Times New Roman" w:hAnsi="ArialMT" w:cs="Times New Roman"/>
          <w:i/>
          <w:iCs/>
          <w:color w:val="000000" w:themeColor="text1"/>
          <w:kern w:val="0"/>
          <w14:ligatures w14:val="none"/>
        </w:rPr>
        <w:t>rate</w:t>
      </w:r>
      <w:proofErr w:type="gramEnd"/>
      <w:r w:rsidR="00B309FD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di crescita dei gliomi.</w:t>
      </w:r>
    </w:p>
    <w:p w:rsidR="005F01F8" w:rsidRPr="000C746A" w:rsidRDefault="00A31DF4" w:rsidP="00A31DF4">
      <w:pPr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</w:pP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1. Avellino R, Romano S, Parasole R, Bisogni R, Lamberti A, Poggi V, Venuta S, Romano MF.</w:t>
      </w:r>
      <w:r w:rsidR="005F01F8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</w:t>
      </w:r>
      <w:r w:rsidR="005F01F8" w:rsidRPr="000C746A">
        <w:rPr>
          <w:rFonts w:ascii="ArialMT" w:eastAsia="Times New Roman" w:hAnsi="ArialMT" w:cs="Times New Roman"/>
          <w:i/>
          <w:iCs/>
          <w:color w:val="000000" w:themeColor="text1"/>
          <w:kern w:val="0"/>
          <w:shd w:val="clear" w:color="auto" w:fill="FFFFFF"/>
          <w:lang w:val="en-US"/>
          <w14:ligatures w14:val="none"/>
        </w:rPr>
        <w:t>Rapamycin stimulates apoptosis of childhood acute lymphoblastic leukemia cells</w:t>
      </w:r>
      <w:r w:rsidR="005F01F8" w:rsidRPr="000C746A">
        <w:rPr>
          <w:rFonts w:ascii="ArialMT" w:eastAsia="Times New Roman" w:hAnsi="ArialMT" w:cs="Times New Roman"/>
          <w:color w:val="000000" w:themeColor="text1"/>
          <w:kern w:val="0"/>
          <w:shd w:val="clear" w:color="auto" w:fill="FFFFFF"/>
          <w:lang w:val="en-US"/>
          <w14:ligatures w14:val="none"/>
        </w:rPr>
        <w:t xml:space="preserve">. </w:t>
      </w:r>
      <w:r w:rsidRPr="000C746A">
        <w:rPr>
          <w:rFonts w:ascii="ArialMT" w:eastAsia="Times New Roman" w:hAnsi="ArialMT" w:cs="Times New Roman"/>
          <w:b/>
          <w:bCs/>
          <w:color w:val="000000" w:themeColor="text1"/>
          <w:kern w:val="0"/>
          <w:lang w:val="en-US"/>
          <w14:ligatures w14:val="none"/>
        </w:rPr>
        <w:t>Blood</w:t>
      </w: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2005</w:t>
      </w:r>
      <w:r w:rsidR="005F01F8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,</w:t>
      </w: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106(4):1400-6. </w:t>
      </w:r>
      <w:r w:rsidR="005F01F8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DOI</w:t>
      </w: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: 10.1182/blood-2005-03-0929</w:t>
      </w:r>
    </w:p>
    <w:p w:rsidR="00A31DF4" w:rsidRPr="000C746A" w:rsidRDefault="00A31DF4" w:rsidP="00A31DF4">
      <w:pPr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</w:pP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2. </w:t>
      </w:r>
      <w:r w:rsidR="003D53EB" w:rsidRPr="000C746A">
        <w:rPr>
          <w:rFonts w:ascii="ArialMT" w:eastAsia="Times New Roman" w:hAnsi="ArialMT" w:cs="Times New Roman"/>
          <w:i/>
          <w:iCs/>
          <w:color w:val="4472C4" w:themeColor="accent1"/>
          <w:kern w:val="0"/>
          <w:shd w:val="clear" w:color="auto" w:fill="FFFFFF"/>
          <w:lang w:val="en-US"/>
          <w14:ligatures w14:val="none"/>
        </w:rPr>
        <w:t xml:space="preserve">Role of FK506-binding protein 51 in the control of apoptosis of irradiated melanoma </w:t>
      </w:r>
      <w:r w:rsidR="003D53EB" w:rsidRPr="000C746A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>cells</w:t>
      </w:r>
      <w:r w:rsidR="003D53EB" w:rsidRPr="000C746A">
        <w:rPr>
          <w:rFonts w:ascii="ArialMT" w:eastAsia="Times New Roman" w:hAnsi="ArialMT" w:cs="Times New Roman"/>
          <w:color w:val="4472C4" w:themeColor="accent1"/>
          <w:kern w:val="0"/>
          <w:lang w:val="en-US"/>
          <w14:ligatures w14:val="none"/>
        </w:rPr>
        <w:t xml:space="preserve">. 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Romano S, D'Angelillo A, Pacelli R, Staibano S, De Luna E, Bisogni R,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Eskelinen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EL, Mascolo M, Calì G, Arra C, Romano MF.</w:t>
      </w:r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</w:t>
      </w:r>
      <w:r w:rsidRPr="000C746A">
        <w:rPr>
          <w:rFonts w:ascii="ArialMT" w:eastAsia="Times New Roman" w:hAnsi="ArialMT" w:cs="Times New Roman"/>
          <w:b/>
          <w:bCs/>
          <w:color w:val="000000" w:themeColor="text1"/>
          <w:kern w:val="0"/>
          <w14:ligatures w14:val="none"/>
        </w:rPr>
        <w:t xml:space="preserve">Cell Death </w:t>
      </w:r>
      <w:proofErr w:type="spellStart"/>
      <w:r w:rsidRPr="000C746A">
        <w:rPr>
          <w:rFonts w:ascii="ArialMT" w:eastAsia="Times New Roman" w:hAnsi="ArialMT" w:cs="Times New Roman"/>
          <w:b/>
          <w:bCs/>
          <w:color w:val="000000" w:themeColor="text1"/>
          <w:kern w:val="0"/>
          <w14:ligatures w14:val="none"/>
        </w:rPr>
        <w:t>Differ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2010</w:t>
      </w:r>
      <w:r w:rsidR="005F01F8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,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17(1):145-57. </w:t>
      </w:r>
      <w:r w:rsidR="005F01F8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DOI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: 10.1038/cdd.2009.115 </w:t>
      </w:r>
    </w:p>
    <w:p w:rsidR="00A31DF4" w:rsidRPr="000C746A" w:rsidRDefault="00A31DF4" w:rsidP="00A31DF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3. Romano S, Staibano S, Greco A, Brunetti A, Nappo G, Ilardi G, Martinelli R, Sorrentino A, Di Pace A, Mascolo M, Bisogni R, Scalvenzi M, Alfano B, Romano MF.</w:t>
      </w:r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</w:t>
      </w:r>
      <w:r w:rsidR="0056002C" w:rsidRPr="000C746A">
        <w:rPr>
          <w:rFonts w:ascii="ArialMT" w:eastAsia="Times New Roman" w:hAnsi="ArialMT" w:cs="Times New Roman"/>
          <w:i/>
          <w:iCs/>
          <w:color w:val="000000" w:themeColor="text1"/>
          <w:kern w:val="0"/>
          <w:lang w:val="en-US"/>
          <w14:ligatures w14:val="none"/>
        </w:rPr>
        <w:t>FK506 binding protein 51 positively regulates melanoma stemness and metastatic potential</w:t>
      </w:r>
      <w:r w:rsidR="0056002C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. </w:t>
      </w:r>
      <w:r w:rsidRPr="000C746A">
        <w:rPr>
          <w:rFonts w:ascii="ArialMT" w:eastAsia="Times New Roman" w:hAnsi="ArialMT" w:cs="Times New Roman"/>
          <w:b/>
          <w:bCs/>
          <w:color w:val="000000" w:themeColor="text1"/>
          <w:kern w:val="0"/>
          <w:lang w:val="en-US"/>
          <w14:ligatures w14:val="none"/>
        </w:rPr>
        <w:t>Cell Death Dis</w:t>
      </w: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2013</w:t>
      </w:r>
      <w:r w:rsidR="0056002C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,</w:t>
      </w: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4;4(4</w:t>
      </w:r>
      <w:proofErr w:type="gramStart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):e</w:t>
      </w:r>
      <w:proofErr w:type="gramEnd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578. </w:t>
      </w:r>
      <w:r w:rsidR="0056002C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DOI</w:t>
      </w: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: 10.1038/cddis.2013.109</w:t>
      </w:r>
    </w:p>
    <w:p w:rsidR="00A31DF4" w:rsidRPr="000C746A" w:rsidRDefault="00A31DF4" w:rsidP="00A31DF4">
      <w:pPr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</w:pP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4. </w:t>
      </w:r>
      <w:r w:rsidR="003D53EB" w:rsidRPr="000C746A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>FKBP51 employs both scaffold and isomerase functions to promote NF-</w:t>
      </w:r>
      <w:proofErr w:type="spellStart"/>
      <w:r w:rsidR="003D53EB" w:rsidRPr="000C746A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>kappaB</w:t>
      </w:r>
      <w:proofErr w:type="spellEnd"/>
      <w:r w:rsidR="003D53EB" w:rsidRPr="000C746A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 xml:space="preserve"> activation in melanoma</w:t>
      </w:r>
      <w:r w:rsidR="003D53EB" w:rsidRPr="000C746A">
        <w:rPr>
          <w:rFonts w:ascii="ArialMT" w:eastAsia="Times New Roman" w:hAnsi="ArialMT" w:cs="Times New Roman"/>
          <w:color w:val="4472C4" w:themeColor="accent1"/>
          <w:kern w:val="0"/>
          <w:lang w:val="en-US"/>
          <w14:ligatures w14:val="none"/>
        </w:rPr>
        <w:t xml:space="preserve">. </w:t>
      </w: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Romano S, Xiao Y,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Nakaya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M,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D'Angelillo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A, Chang M,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Jin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J,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Hausch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F,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Masullo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M, Feng X, Romano MF, Sun SC.</w:t>
      </w:r>
      <w:r w:rsidR="0056002C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</w:t>
      </w:r>
      <w:r w:rsidRPr="000C746A">
        <w:rPr>
          <w:rFonts w:ascii="ArialMT" w:eastAsia="Times New Roman" w:hAnsi="ArialMT" w:cs="Times New Roman"/>
          <w:b/>
          <w:bCs/>
          <w:color w:val="000000" w:themeColor="text1"/>
          <w:kern w:val="0"/>
          <w:lang w:val="en-US"/>
          <w14:ligatures w14:val="none"/>
        </w:rPr>
        <w:t>Nucleic Acids Res</w:t>
      </w: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2015</w:t>
      </w:r>
      <w:r w:rsidR="0056002C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,</w:t>
      </w: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18;43(14):6983-93. </w:t>
      </w:r>
      <w:r w:rsidR="0056002C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DOI</w:t>
      </w: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: 10.1093/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nar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/gkv615</w:t>
      </w:r>
    </w:p>
    <w:p w:rsidR="00CE538C" w:rsidRPr="000C746A" w:rsidRDefault="00A31DF4" w:rsidP="00CE538C">
      <w:pPr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</w:pP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5. </w:t>
      </w:r>
      <w:r w:rsidR="003D53EB" w:rsidRPr="000C746A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>FKBP51s signature in peripheral blood mononuclear cells of melanoma patients as a possible predictive factor for immunotherapy</w:t>
      </w:r>
      <w:r w:rsidR="003D53EB" w:rsidRPr="000C746A">
        <w:rPr>
          <w:rFonts w:ascii="ArialMT" w:eastAsia="Times New Roman" w:hAnsi="ArialMT" w:cs="Times New Roman"/>
          <w:color w:val="4472C4" w:themeColor="accent1"/>
          <w:kern w:val="0"/>
          <w:lang w:val="en-US"/>
          <w14:ligatures w14:val="none"/>
        </w:rPr>
        <w:t xml:space="preserve">. </w:t>
      </w:r>
      <w:hyperlink r:id="rId5" w:history="1">
        <w:r w:rsidR="00CE538C" w:rsidRPr="000C746A">
          <w:rPr>
            <w:rFonts w:ascii="ArialMT" w:eastAsia="Times New Roman" w:hAnsi="ArialMT" w:cs="Times New Roman"/>
            <w:color w:val="000000" w:themeColor="text1"/>
            <w:kern w:val="0"/>
            <w14:ligatures w14:val="none"/>
          </w:rPr>
          <w:t>Romano S</w:t>
        </w:r>
      </w:hyperlink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, </w:t>
      </w:r>
      <w:hyperlink r:id="rId6" w:history="1">
        <w:r w:rsidR="00CE538C" w:rsidRPr="000C746A">
          <w:rPr>
            <w:rFonts w:ascii="ArialMT" w:eastAsia="Times New Roman" w:hAnsi="ArialMT" w:cs="Times New Roman"/>
            <w:color w:val="000000" w:themeColor="text1"/>
            <w:kern w:val="0"/>
            <w14:ligatures w14:val="none"/>
          </w:rPr>
          <w:t>Simeone E</w:t>
        </w:r>
      </w:hyperlink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, </w:t>
      </w:r>
      <w:hyperlink r:id="rId7" w:history="1">
        <w:r w:rsidR="00CE538C" w:rsidRPr="000C746A">
          <w:rPr>
            <w:rFonts w:ascii="ArialMT" w:eastAsia="Times New Roman" w:hAnsi="ArialMT" w:cs="Times New Roman"/>
            <w:color w:val="000000" w:themeColor="text1"/>
            <w:kern w:val="0"/>
            <w14:ligatures w14:val="none"/>
          </w:rPr>
          <w:t>D'Angelillo A</w:t>
        </w:r>
      </w:hyperlink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, </w:t>
      </w:r>
      <w:hyperlink r:id="rId8" w:history="1">
        <w:r w:rsidR="00CE538C" w:rsidRPr="000C746A">
          <w:rPr>
            <w:rFonts w:ascii="ArialMT" w:eastAsia="Times New Roman" w:hAnsi="ArialMT" w:cs="Times New Roman"/>
            <w:color w:val="000000" w:themeColor="text1"/>
            <w:kern w:val="0"/>
            <w14:ligatures w14:val="none"/>
          </w:rPr>
          <w:t xml:space="preserve">D'Arrigo </w:t>
        </w:r>
        <w:r w:rsidR="00CE538C" w:rsidRPr="000C746A">
          <w:rPr>
            <w:rFonts w:ascii="ArialMT" w:eastAsia="Times New Roman" w:hAnsi="ArialMT" w:cs="Times New Roman"/>
            <w:color w:val="000000" w:themeColor="text1"/>
            <w:kern w:val="0"/>
            <w14:ligatures w14:val="none"/>
          </w:rPr>
          <w:lastRenderedPageBreak/>
          <w:t>P</w:t>
        </w:r>
      </w:hyperlink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, </w:t>
      </w:r>
      <w:hyperlink r:id="rId9" w:history="1">
        <w:r w:rsidR="00CE538C" w:rsidRPr="000C746A">
          <w:rPr>
            <w:rFonts w:ascii="ArialMT" w:eastAsia="Times New Roman" w:hAnsi="ArialMT" w:cs="Times New Roman"/>
            <w:color w:val="000000" w:themeColor="text1"/>
            <w:kern w:val="0"/>
            <w14:ligatures w14:val="none"/>
          </w:rPr>
          <w:t>Russo M</w:t>
        </w:r>
      </w:hyperlink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, </w:t>
      </w:r>
      <w:hyperlink r:id="rId10" w:history="1">
        <w:r w:rsidR="00CE538C" w:rsidRPr="000C746A">
          <w:rPr>
            <w:rFonts w:ascii="ArialMT" w:eastAsia="Times New Roman" w:hAnsi="ArialMT" w:cs="Times New Roman"/>
            <w:color w:val="000000" w:themeColor="text1"/>
            <w:kern w:val="0"/>
            <w14:ligatures w14:val="none"/>
          </w:rPr>
          <w:t>Capasso M</w:t>
        </w:r>
      </w:hyperlink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, </w:t>
      </w:r>
      <w:hyperlink r:id="rId11" w:history="1">
        <w:proofErr w:type="spellStart"/>
        <w:r w:rsidR="00CE538C" w:rsidRPr="000C746A">
          <w:rPr>
            <w:rFonts w:ascii="ArialMT" w:eastAsia="Times New Roman" w:hAnsi="ArialMT" w:cs="Times New Roman"/>
            <w:color w:val="000000" w:themeColor="text1"/>
            <w:kern w:val="0"/>
            <w14:ligatures w14:val="none"/>
          </w:rPr>
          <w:t>Lasorsa</w:t>
        </w:r>
        <w:proofErr w:type="spellEnd"/>
        <w:r w:rsidR="00CE538C" w:rsidRPr="000C746A">
          <w:rPr>
            <w:rFonts w:ascii="ArialMT" w:eastAsia="Times New Roman" w:hAnsi="ArialMT" w:cs="Times New Roman"/>
            <w:color w:val="000000" w:themeColor="text1"/>
            <w:kern w:val="0"/>
            <w14:ligatures w14:val="none"/>
          </w:rPr>
          <w:t xml:space="preserve"> VA</w:t>
        </w:r>
      </w:hyperlink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, </w:t>
      </w:r>
      <w:hyperlink r:id="rId12" w:history="1">
        <w:r w:rsidR="00CE538C" w:rsidRPr="000C746A">
          <w:rPr>
            <w:rFonts w:ascii="ArialMT" w:eastAsia="Times New Roman" w:hAnsi="ArialMT" w:cs="Times New Roman"/>
            <w:color w:val="000000" w:themeColor="text1"/>
            <w:kern w:val="0"/>
            <w14:ligatures w14:val="none"/>
          </w:rPr>
          <w:t>Zambrano N</w:t>
        </w:r>
      </w:hyperlink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, </w:t>
      </w:r>
      <w:hyperlink r:id="rId13" w:history="1">
        <w:r w:rsidR="00CE538C" w:rsidRPr="000C746A">
          <w:rPr>
            <w:rFonts w:ascii="ArialMT" w:eastAsia="Times New Roman" w:hAnsi="ArialMT" w:cs="Times New Roman"/>
            <w:color w:val="000000" w:themeColor="text1"/>
            <w:kern w:val="0"/>
            <w14:ligatures w14:val="none"/>
          </w:rPr>
          <w:t>Ascierto PA</w:t>
        </w:r>
      </w:hyperlink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, </w:t>
      </w:r>
      <w:hyperlink r:id="rId14" w:history="1">
        <w:r w:rsidR="00CE538C" w:rsidRPr="000C746A">
          <w:rPr>
            <w:rFonts w:ascii="ArialMT" w:eastAsia="Times New Roman" w:hAnsi="ArialMT" w:cs="Times New Roman"/>
            <w:color w:val="000000" w:themeColor="text1"/>
            <w:kern w:val="0"/>
            <w14:ligatures w14:val="none"/>
          </w:rPr>
          <w:t>Romano MF</w:t>
        </w:r>
      </w:hyperlink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. </w:t>
      </w:r>
      <w:r w:rsidR="00CE538C" w:rsidRPr="000C746A">
        <w:rPr>
          <w:rFonts w:ascii="ArialMT" w:eastAsia="Times New Roman" w:hAnsi="ArialMT" w:cs="Times New Roman"/>
          <w:b/>
          <w:bCs/>
          <w:color w:val="000000" w:themeColor="text1"/>
          <w:kern w:val="0"/>
          <w:lang w:val="en-US"/>
          <w14:ligatures w14:val="none"/>
        </w:rPr>
        <w:t>Cancer Immunol Immunother</w:t>
      </w:r>
      <w:r w:rsidR="00CE538C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2017</w:t>
      </w:r>
      <w:r w:rsidR="00942DEA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,</w:t>
      </w:r>
      <w:r w:rsidR="00CE538C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66(9):1143-1151. DOI: 10.1007/s00262-017-2004-0</w:t>
      </w:r>
    </w:p>
    <w:p w:rsidR="003D53EB" w:rsidRPr="000C746A" w:rsidRDefault="00CE538C" w:rsidP="00CE538C">
      <w:pPr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</w:pP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6. </w:t>
      </w:r>
      <w:r w:rsidR="003D53EB" w:rsidRPr="000C746A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>The splicing FK506-binding protein-51 isoform plays a role in glioblastoma resistance through programmed cell death ligand-1 expression regulation</w:t>
      </w:r>
      <w:r w:rsidR="003D53EB" w:rsidRPr="000C746A">
        <w:rPr>
          <w:rFonts w:ascii="ArialMT" w:eastAsia="Times New Roman" w:hAnsi="ArialMT" w:cs="Times New Roman"/>
          <w:color w:val="4472C4" w:themeColor="accent1"/>
          <w:kern w:val="0"/>
          <w:lang w:val="en-US"/>
          <w14:ligatures w14:val="none"/>
        </w:rPr>
        <w:t xml:space="preserve">. </w:t>
      </w:r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D'Arrigo P,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Digregorio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M, Romano S, Tufano M, Rea A,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Hausch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F,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Dedobbeleer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M, Vigorito V, Russo S,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Bauder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M, </w:t>
      </w:r>
      <w:proofErr w:type="spellStart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Rogister</w:t>
      </w:r>
      <w:proofErr w:type="spellEnd"/>
      <w:r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B, Romano MF. </w:t>
      </w:r>
      <w:r w:rsidRPr="000C746A">
        <w:rPr>
          <w:rFonts w:ascii="ArialMT" w:eastAsia="Times New Roman" w:hAnsi="ArialMT" w:cs="Times New Roman"/>
          <w:b/>
          <w:bCs/>
          <w:color w:val="000000" w:themeColor="text1"/>
          <w:kern w:val="0"/>
          <w:lang w:val="en-US"/>
          <w14:ligatures w14:val="none"/>
        </w:rPr>
        <w:t xml:space="preserve">Cell Death </w:t>
      </w:r>
      <w:proofErr w:type="spellStart"/>
      <w:r w:rsidRPr="000C746A">
        <w:rPr>
          <w:rFonts w:ascii="ArialMT" w:eastAsia="Times New Roman" w:hAnsi="ArialMT" w:cs="Times New Roman"/>
          <w:b/>
          <w:bCs/>
          <w:color w:val="000000" w:themeColor="text1"/>
          <w:kern w:val="0"/>
          <w:lang w:val="en-US"/>
          <w14:ligatures w14:val="none"/>
        </w:rPr>
        <w:t>Discov</w:t>
      </w:r>
      <w:proofErr w:type="spellEnd"/>
      <w:r w:rsidR="00942DEA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</w:t>
      </w: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2019</w:t>
      </w:r>
      <w:r w:rsidR="00942DEA"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>,</w:t>
      </w: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 5:137. DOI: 10.1038/s41420-019-0216-0</w:t>
      </w:r>
    </w:p>
    <w:p w:rsidR="00CE538C" w:rsidRPr="000C746A" w:rsidRDefault="003D53EB" w:rsidP="00CE538C">
      <w:pPr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</w:pPr>
      <w:r w:rsidRPr="000C746A">
        <w:rPr>
          <w:rFonts w:ascii="ArialMT" w:eastAsia="Times New Roman" w:hAnsi="ArialMT" w:cs="Times New Roman"/>
          <w:color w:val="000000" w:themeColor="text1"/>
          <w:kern w:val="0"/>
          <w:lang w:val="en-US"/>
          <w14:ligatures w14:val="none"/>
        </w:rPr>
        <w:t xml:space="preserve">7. </w:t>
      </w:r>
      <w:r w:rsidRPr="000C746A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 xml:space="preserve">The FKBP51s Splice Isoform Predicts Unfavorable Prognosis in Patients with Glioblastoma. </w:t>
      </w:r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Giordano C, Marrone L, Romano S, Della Pepa GM, Donzelli CM, Tufano M, Capasso M, </w:t>
      </w:r>
      <w:proofErr w:type="spellStart"/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Lasorsa</w:t>
      </w:r>
      <w:proofErr w:type="spellEnd"/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VA, Quintavalle C, Guerri G, Martucci M, Auricchio A, Gessi M, Sala E, Olivi A, Romano MF, Gaudino S. </w:t>
      </w:r>
      <w:r w:rsidR="00CE538C" w:rsidRPr="000C746A">
        <w:rPr>
          <w:rFonts w:ascii="ArialMT" w:eastAsia="Times New Roman" w:hAnsi="ArialMT" w:cs="Times New Roman"/>
          <w:b/>
          <w:bCs/>
          <w:color w:val="000000" w:themeColor="text1"/>
          <w:kern w:val="0"/>
          <w14:ligatures w14:val="none"/>
        </w:rPr>
        <w:t xml:space="preserve">Cancer Res </w:t>
      </w:r>
      <w:proofErr w:type="spellStart"/>
      <w:r w:rsidR="00CE538C" w:rsidRPr="000C746A">
        <w:rPr>
          <w:rFonts w:ascii="ArialMT" w:eastAsia="Times New Roman" w:hAnsi="ArialMT" w:cs="Times New Roman"/>
          <w:b/>
          <w:bCs/>
          <w:color w:val="000000" w:themeColor="text1"/>
          <w:kern w:val="0"/>
          <w14:ligatures w14:val="none"/>
        </w:rPr>
        <w:t>Commun</w:t>
      </w:r>
      <w:proofErr w:type="spellEnd"/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2024</w:t>
      </w:r>
      <w:r w:rsidR="00942DEA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,</w:t>
      </w:r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 xml:space="preserve"> 4(5):1296-1306. </w:t>
      </w:r>
      <w:r w:rsidR="00942DEA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DOI</w:t>
      </w:r>
      <w:r w:rsidR="00CE538C" w:rsidRPr="000C746A"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  <w:t>: 10.1158/2767-9764.CRC-24-0083</w:t>
      </w:r>
    </w:p>
    <w:p w:rsidR="00A31DF4" w:rsidRPr="000C746A" w:rsidRDefault="00A31DF4" w:rsidP="00A31DF4">
      <w:pPr>
        <w:jc w:val="both"/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</w:pPr>
    </w:p>
    <w:p w:rsidR="00A31DF4" w:rsidRPr="000C746A" w:rsidRDefault="00A31DF4" w:rsidP="00A31DF4">
      <w:pPr>
        <w:jc w:val="both"/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</w:pPr>
    </w:p>
    <w:p w:rsidR="00270CDC" w:rsidRPr="000C746A" w:rsidRDefault="00270CDC" w:rsidP="00A31DF4">
      <w:pPr>
        <w:jc w:val="both"/>
        <w:rPr>
          <w:rFonts w:ascii="ArialMT" w:eastAsia="Times New Roman" w:hAnsi="ArialMT" w:cs="Times New Roman"/>
          <w:color w:val="000000" w:themeColor="text1"/>
          <w:kern w:val="0"/>
          <w14:ligatures w14:val="none"/>
        </w:rPr>
      </w:pPr>
    </w:p>
    <w:sectPr w:rsidR="00270CDC" w:rsidRPr="000C746A" w:rsidSect="006622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31B8"/>
    <w:multiLevelType w:val="hybridMultilevel"/>
    <w:tmpl w:val="6AEAED1E"/>
    <w:lvl w:ilvl="0" w:tplc="2F5C5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MT" w:eastAsia="Times New Roman" w:hAnsi="ArialMT" w:cs="Times New Roman"/>
      </w:rPr>
    </w:lvl>
    <w:lvl w:ilvl="1" w:tplc="842CFCB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FA59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B089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5CEED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2866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B288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845E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EEA9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B571DA"/>
    <w:multiLevelType w:val="hybridMultilevel"/>
    <w:tmpl w:val="04D49274"/>
    <w:lvl w:ilvl="0" w:tplc="C81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666980">
    <w:abstractNumId w:val="1"/>
  </w:num>
  <w:num w:numId="2" w16cid:durableId="63210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F4"/>
    <w:rsid w:val="000C746A"/>
    <w:rsid w:val="00270CDC"/>
    <w:rsid w:val="00282FB3"/>
    <w:rsid w:val="00310C7C"/>
    <w:rsid w:val="00337E1E"/>
    <w:rsid w:val="003B3E12"/>
    <w:rsid w:val="003D53EB"/>
    <w:rsid w:val="00435541"/>
    <w:rsid w:val="004E13FD"/>
    <w:rsid w:val="004E7AEC"/>
    <w:rsid w:val="004F5E1A"/>
    <w:rsid w:val="00554550"/>
    <w:rsid w:val="0056002C"/>
    <w:rsid w:val="005F01F8"/>
    <w:rsid w:val="00662236"/>
    <w:rsid w:val="006D7638"/>
    <w:rsid w:val="007250AA"/>
    <w:rsid w:val="00725345"/>
    <w:rsid w:val="00743BA9"/>
    <w:rsid w:val="00754037"/>
    <w:rsid w:val="0083316B"/>
    <w:rsid w:val="008350AE"/>
    <w:rsid w:val="00935B3E"/>
    <w:rsid w:val="00942DEA"/>
    <w:rsid w:val="00970B0C"/>
    <w:rsid w:val="0098247A"/>
    <w:rsid w:val="009A0D99"/>
    <w:rsid w:val="00A31DF4"/>
    <w:rsid w:val="00B309FD"/>
    <w:rsid w:val="00B83B7C"/>
    <w:rsid w:val="00BB5D73"/>
    <w:rsid w:val="00CE538C"/>
    <w:rsid w:val="00D765E2"/>
    <w:rsid w:val="00E634C9"/>
    <w:rsid w:val="00E65EFF"/>
    <w:rsid w:val="00E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FEA4C3"/>
  <w15:chartTrackingRefBased/>
  <w15:docId w15:val="{E000998E-F873-AF48-A4CD-8357E0AE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1D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CE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D'Arrigo%20P%5BAuthor%5D&amp;cauthor=true&amp;cauthor_uid=28434031" TargetMode="External"/><Relationship Id="rId13" Type="http://schemas.openxmlformats.org/officeDocument/2006/relationships/hyperlink" Target="https://www.ncbi.nlm.nih.gov/pubmed/?term=Ascierto%20PA%5BAuthor%5D&amp;cauthor=true&amp;cauthor_uid=28434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D'Angelillo%20A%5BAuthor%5D&amp;cauthor=true&amp;cauthor_uid=28434031" TargetMode="External"/><Relationship Id="rId12" Type="http://schemas.openxmlformats.org/officeDocument/2006/relationships/hyperlink" Target="https://www.ncbi.nlm.nih.gov/pubmed/?term=Zambrano%20N%5BAuthor%5D&amp;cauthor=true&amp;cauthor_uid=2843403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Simeone%20E%5BAuthor%5D&amp;cauthor=true&amp;cauthor_uid=28434031" TargetMode="External"/><Relationship Id="rId11" Type="http://schemas.openxmlformats.org/officeDocument/2006/relationships/hyperlink" Target="https://www.ncbi.nlm.nih.gov/pubmed/?term=Lasorsa%20VA%5BAuthor%5D&amp;cauthor=true&amp;cauthor_uid=28434031" TargetMode="External"/><Relationship Id="rId5" Type="http://schemas.openxmlformats.org/officeDocument/2006/relationships/hyperlink" Target="https://www.ncbi.nlm.nih.gov/pubmed/?term=Romano%20S%5BAuthor%5D&amp;cauthor=true&amp;cauthor_uid=2843403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?term=Capasso%20M%5BAuthor%5D&amp;cauthor=true&amp;cauthor_uid=28434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Russo%20M%5BAuthor%5D&amp;cauthor=true&amp;cauthor_uid=28434031" TargetMode="External"/><Relationship Id="rId14" Type="http://schemas.openxmlformats.org/officeDocument/2006/relationships/hyperlink" Target="https://www.ncbi.nlm.nih.gov/pubmed/?term=Romano%20MF%5BAuthor%5D&amp;cauthor=true&amp;cauthor_uid=2843403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713</Words>
  <Characters>4518</Characters>
  <Application>Microsoft Office Word</Application>
  <DocSecurity>0</DocSecurity>
  <Lines>94</Lines>
  <Paragraphs>27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ROMANO</dc:creator>
  <cp:keywords/>
  <dc:description/>
  <cp:lastModifiedBy>SIMONA ROMANO</cp:lastModifiedBy>
  <cp:revision>15</cp:revision>
  <dcterms:created xsi:type="dcterms:W3CDTF">2025-03-11T14:50:00Z</dcterms:created>
  <dcterms:modified xsi:type="dcterms:W3CDTF">2025-03-12T10:52:00Z</dcterms:modified>
</cp:coreProperties>
</file>