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B70D5" w14:textId="5CEEC403" w:rsidR="00FD54BF" w:rsidRPr="00241E56" w:rsidRDefault="009F211E">
      <w:pPr>
        <w:rPr>
          <w:rFonts w:ascii="Arial" w:hAnsi="Arial" w:cs="Arial"/>
          <w:b/>
          <w:bCs/>
          <w:lang w:val="en-US"/>
        </w:rPr>
      </w:pPr>
      <w:r w:rsidRPr="00241E56">
        <w:rPr>
          <w:rFonts w:ascii="Arial" w:hAnsi="Arial" w:cs="Arial"/>
          <w:b/>
          <w:bCs/>
          <w:lang w:val="en-US"/>
        </w:rPr>
        <w:t xml:space="preserve">PI </w:t>
      </w:r>
    </w:p>
    <w:p w14:paraId="4497EA79" w14:textId="59799861" w:rsidR="00FD54BF" w:rsidRPr="00241E56" w:rsidRDefault="00CB5D06" w:rsidP="00FD54BF">
      <w:pPr>
        <w:pBdr>
          <w:top w:val="single" w:sz="4" w:space="1" w:color="auto"/>
          <w:left w:val="single" w:sz="4" w:space="4" w:color="auto"/>
          <w:bottom w:val="single" w:sz="4" w:space="1" w:color="auto"/>
          <w:right w:val="single" w:sz="4" w:space="4" w:color="auto"/>
        </w:pBdr>
        <w:rPr>
          <w:rFonts w:ascii="Arial" w:hAnsi="Arial" w:cs="Arial"/>
          <w:lang w:val="en-US"/>
        </w:rPr>
      </w:pPr>
      <w:hyperlink r:id="rId4" w:anchor="!/professor/4e49434f4c415a414d4252414e4f5a4d424e434c36334530324631333854/riferimenti" w:history="1">
        <w:r w:rsidR="005051E8" w:rsidRPr="00CB5D06">
          <w:rPr>
            <w:rStyle w:val="Collegamentoipertestuale"/>
            <w:rFonts w:ascii="Arial" w:hAnsi="Arial" w:cs="Arial"/>
            <w:lang w:val="en-US"/>
          </w:rPr>
          <w:t>Nicola ZAMBRANO</w:t>
        </w:r>
      </w:hyperlink>
      <w:r w:rsidR="00172C27">
        <w:rPr>
          <w:rFonts w:ascii="Arial" w:hAnsi="Arial" w:cs="Arial"/>
          <w:lang w:val="en-US"/>
        </w:rPr>
        <w:t>, Full Professor</w:t>
      </w:r>
    </w:p>
    <w:p w14:paraId="2FA46921" w14:textId="77777777" w:rsidR="00FD54BF" w:rsidRPr="00241E56" w:rsidRDefault="00FD54BF">
      <w:pPr>
        <w:rPr>
          <w:rFonts w:ascii="Arial" w:hAnsi="Arial" w:cs="Arial"/>
          <w:lang w:val="en-US"/>
        </w:rPr>
      </w:pPr>
    </w:p>
    <w:p w14:paraId="30797954" w14:textId="781AC0AF" w:rsidR="00FD54BF" w:rsidRPr="00241E56" w:rsidRDefault="009F211E">
      <w:pPr>
        <w:rPr>
          <w:rFonts w:ascii="Arial" w:hAnsi="Arial" w:cs="Arial"/>
          <w:lang w:val="en-US"/>
        </w:rPr>
      </w:pPr>
      <w:r w:rsidRPr="00241E56">
        <w:rPr>
          <w:rFonts w:ascii="Arial" w:hAnsi="Arial" w:cs="Arial"/>
          <w:b/>
          <w:bCs/>
          <w:lang w:val="en-US"/>
        </w:rPr>
        <w:t>GROUP</w:t>
      </w:r>
    </w:p>
    <w:p w14:paraId="74D67FFF" w14:textId="03D706F4" w:rsidR="00FD54BF" w:rsidRPr="00241E56" w:rsidRDefault="00F14F7C" w:rsidP="00FD54BF">
      <w:pPr>
        <w:pBdr>
          <w:top w:val="single" w:sz="4" w:space="1" w:color="auto"/>
          <w:left w:val="single" w:sz="4" w:space="4" w:color="auto"/>
          <w:bottom w:val="single" w:sz="4" w:space="1" w:color="auto"/>
          <w:right w:val="single" w:sz="4" w:space="4" w:color="auto"/>
        </w:pBdr>
        <w:rPr>
          <w:rFonts w:ascii="Arial" w:hAnsi="Arial" w:cs="Arial"/>
          <w:lang w:val="en-US"/>
        </w:rPr>
      </w:pPr>
      <w:r w:rsidRPr="00241E56">
        <w:rPr>
          <w:rFonts w:ascii="Arial" w:hAnsi="Arial" w:cs="Arial"/>
          <w:lang w:val="en-US"/>
        </w:rPr>
        <w:t>Alessandra Napolano</w:t>
      </w:r>
      <w:r w:rsidR="00172C27">
        <w:rPr>
          <w:rFonts w:ascii="Arial" w:hAnsi="Arial" w:cs="Arial"/>
          <w:lang w:val="en-US"/>
        </w:rPr>
        <w:t>, PhD student</w:t>
      </w:r>
    </w:p>
    <w:p w14:paraId="2417F220" w14:textId="77777777" w:rsidR="00053C76" w:rsidRPr="00241E56" w:rsidRDefault="00053C76" w:rsidP="00053C76">
      <w:pPr>
        <w:rPr>
          <w:rFonts w:ascii="Arial" w:hAnsi="Arial" w:cs="Arial"/>
          <w:lang w:val="en-US"/>
        </w:rPr>
      </w:pPr>
    </w:p>
    <w:p w14:paraId="59BDA3FB" w14:textId="089AC41F" w:rsidR="00053C76" w:rsidRPr="00241E56" w:rsidRDefault="00053C76" w:rsidP="00053C76">
      <w:pPr>
        <w:rPr>
          <w:rFonts w:ascii="Arial" w:hAnsi="Arial" w:cs="Arial"/>
          <w:b/>
          <w:bCs/>
          <w:lang w:val="en-US"/>
        </w:rPr>
      </w:pPr>
      <w:r w:rsidRPr="00241E56">
        <w:rPr>
          <w:rFonts w:ascii="Arial" w:hAnsi="Arial" w:cs="Arial"/>
          <w:b/>
          <w:bCs/>
          <w:lang w:val="en-US"/>
        </w:rPr>
        <w:t>RESEARCH FIELD</w:t>
      </w:r>
    </w:p>
    <w:p w14:paraId="0E4EAD99" w14:textId="4381DA8E" w:rsidR="00053C76" w:rsidRPr="00241E56" w:rsidRDefault="00F14F7C" w:rsidP="00053C76">
      <w:pPr>
        <w:pBdr>
          <w:top w:val="single" w:sz="4" w:space="1" w:color="auto"/>
          <w:left w:val="single" w:sz="4" w:space="4" w:color="auto"/>
          <w:bottom w:val="single" w:sz="4" w:space="1" w:color="auto"/>
          <w:right w:val="single" w:sz="4" w:space="4" w:color="auto"/>
        </w:pBdr>
        <w:rPr>
          <w:rFonts w:ascii="Arial" w:hAnsi="Arial" w:cs="Arial"/>
          <w:lang w:val="en-US"/>
        </w:rPr>
      </w:pPr>
      <w:r w:rsidRPr="00241E56">
        <w:rPr>
          <w:rFonts w:ascii="Arial" w:hAnsi="Arial" w:cs="Arial"/>
          <w:lang w:val="en-US"/>
        </w:rPr>
        <w:t xml:space="preserve">Tropism retargeting of </w:t>
      </w:r>
      <w:r w:rsidRPr="00241E56">
        <w:rPr>
          <w:rFonts w:ascii="Arial" w:hAnsi="Arial" w:cs="Arial"/>
          <w:i/>
          <w:iCs/>
          <w:lang w:val="en-US"/>
        </w:rPr>
        <w:t>H. simplex</w:t>
      </w:r>
      <w:r w:rsidRPr="00241E56">
        <w:rPr>
          <w:rFonts w:ascii="Arial" w:hAnsi="Arial" w:cs="Arial"/>
          <w:lang w:val="en-US"/>
        </w:rPr>
        <w:t xml:space="preserve"> </w:t>
      </w:r>
      <w:r w:rsidR="002F2B3D" w:rsidRPr="00241E56">
        <w:rPr>
          <w:rFonts w:ascii="Arial" w:hAnsi="Arial" w:cs="Arial"/>
          <w:lang w:val="en-US"/>
        </w:rPr>
        <w:t xml:space="preserve">against non-protein tumor </w:t>
      </w:r>
      <w:r w:rsidR="005F56C2" w:rsidRPr="00241E56">
        <w:rPr>
          <w:rFonts w:ascii="Arial" w:hAnsi="Arial" w:cs="Arial"/>
          <w:lang w:val="en-US"/>
        </w:rPr>
        <w:t xml:space="preserve">antigens </w:t>
      </w:r>
      <w:r w:rsidRPr="00241E56">
        <w:rPr>
          <w:rFonts w:ascii="Arial" w:hAnsi="Arial" w:cs="Arial"/>
          <w:lang w:val="en-US"/>
        </w:rPr>
        <w:t xml:space="preserve">to expand the onco-immunotherapeutic </w:t>
      </w:r>
      <w:r w:rsidR="00E96ABF" w:rsidRPr="00241E56">
        <w:rPr>
          <w:rFonts w:ascii="Arial" w:hAnsi="Arial" w:cs="Arial"/>
          <w:lang w:val="en-US"/>
        </w:rPr>
        <w:t>repertoire</w:t>
      </w:r>
      <w:r w:rsidRPr="00241E56">
        <w:rPr>
          <w:rFonts w:ascii="Arial" w:hAnsi="Arial" w:cs="Arial"/>
          <w:lang w:val="en-US"/>
        </w:rPr>
        <w:t xml:space="preserve"> of oncolytic viruses </w:t>
      </w:r>
    </w:p>
    <w:p w14:paraId="0A366C3B" w14:textId="77777777" w:rsidR="00F877D5" w:rsidRPr="00241E56" w:rsidRDefault="00F877D5" w:rsidP="00F877D5">
      <w:pPr>
        <w:rPr>
          <w:rFonts w:ascii="Arial" w:hAnsi="Arial" w:cs="Arial"/>
          <w:lang w:val="en-US"/>
        </w:rPr>
      </w:pPr>
    </w:p>
    <w:p w14:paraId="31461A76" w14:textId="6B32714B" w:rsidR="00F877D5" w:rsidRPr="00241E56" w:rsidRDefault="00F877D5" w:rsidP="00F877D5">
      <w:pPr>
        <w:rPr>
          <w:rFonts w:ascii="Arial" w:hAnsi="Arial" w:cs="Arial"/>
          <w:lang w:val="en-US"/>
        </w:rPr>
      </w:pPr>
      <w:r w:rsidRPr="00241E56">
        <w:rPr>
          <w:rFonts w:ascii="Arial" w:hAnsi="Arial" w:cs="Arial"/>
          <w:b/>
          <w:bCs/>
          <w:lang w:val="en-US"/>
        </w:rPr>
        <w:t>KEYWORDS</w:t>
      </w:r>
      <w:r w:rsidRPr="00241E56">
        <w:rPr>
          <w:rFonts w:ascii="Arial" w:hAnsi="Arial" w:cs="Arial"/>
          <w:lang w:val="en-US"/>
        </w:rPr>
        <w:t xml:space="preserve"> </w:t>
      </w:r>
    </w:p>
    <w:p w14:paraId="532A94C1" w14:textId="0B0BA6EE" w:rsidR="00F877D5" w:rsidRPr="00241E56" w:rsidRDefault="002F2B3D" w:rsidP="00F877D5">
      <w:pPr>
        <w:pBdr>
          <w:top w:val="single" w:sz="4" w:space="1" w:color="auto"/>
          <w:left w:val="single" w:sz="4" w:space="4" w:color="auto"/>
          <w:bottom w:val="single" w:sz="4" w:space="1" w:color="auto"/>
          <w:right w:val="single" w:sz="4" w:space="4" w:color="auto"/>
        </w:pBdr>
        <w:rPr>
          <w:rFonts w:ascii="Arial" w:hAnsi="Arial" w:cs="Arial"/>
        </w:rPr>
      </w:pPr>
      <w:r w:rsidRPr="00241E56">
        <w:rPr>
          <w:rFonts w:ascii="Arial" w:hAnsi="Arial" w:cs="Arial"/>
        </w:rPr>
        <w:t xml:space="preserve">HSV-1; </w:t>
      </w:r>
      <w:r w:rsidR="00E96ABF" w:rsidRPr="00241E56">
        <w:rPr>
          <w:rFonts w:ascii="Arial" w:hAnsi="Arial" w:cs="Arial"/>
        </w:rPr>
        <w:t xml:space="preserve">GD2; ganglioside; </w:t>
      </w:r>
      <w:r w:rsidR="003C67B2" w:rsidRPr="00241E56">
        <w:rPr>
          <w:rFonts w:ascii="Arial" w:hAnsi="Arial" w:cs="Arial"/>
        </w:rPr>
        <w:t>cancer, precision medicine.</w:t>
      </w:r>
    </w:p>
    <w:p w14:paraId="68F83D14" w14:textId="77777777" w:rsidR="00FD54BF" w:rsidRPr="00241E56" w:rsidRDefault="00FD54BF">
      <w:pPr>
        <w:rPr>
          <w:rFonts w:ascii="Arial" w:hAnsi="Arial" w:cs="Arial"/>
        </w:rPr>
      </w:pPr>
    </w:p>
    <w:p w14:paraId="3BBC079D" w14:textId="093132FF" w:rsidR="00FD54BF" w:rsidRPr="00241E56" w:rsidRDefault="00FD54BF">
      <w:pPr>
        <w:rPr>
          <w:rFonts w:ascii="Arial" w:hAnsi="Arial" w:cs="Arial"/>
          <w:lang w:val="en-US"/>
        </w:rPr>
      </w:pPr>
      <w:r w:rsidRPr="00241E56">
        <w:rPr>
          <w:rFonts w:ascii="Arial" w:hAnsi="Arial" w:cs="Arial"/>
          <w:b/>
          <w:bCs/>
          <w:lang w:val="en-US"/>
        </w:rPr>
        <w:t>ABSTRACT</w:t>
      </w:r>
      <w:r w:rsidRPr="00241E56">
        <w:rPr>
          <w:rFonts w:ascii="Arial" w:hAnsi="Arial" w:cs="Arial"/>
          <w:lang w:val="en-US"/>
        </w:rPr>
        <w:t xml:space="preserve"> </w:t>
      </w:r>
    </w:p>
    <w:p w14:paraId="7ED61725" w14:textId="0D57C260" w:rsidR="00F877D5" w:rsidRPr="00241E56" w:rsidRDefault="005051E8" w:rsidP="00FD54BF">
      <w:pPr>
        <w:pBdr>
          <w:top w:val="single" w:sz="4" w:space="1" w:color="auto"/>
          <w:left w:val="single" w:sz="4" w:space="4" w:color="auto"/>
          <w:bottom w:val="single" w:sz="4" w:space="1" w:color="auto"/>
          <w:right w:val="single" w:sz="4" w:space="4" w:color="auto"/>
        </w:pBdr>
        <w:rPr>
          <w:rFonts w:ascii="Arial" w:hAnsi="Arial" w:cs="Arial"/>
          <w:lang w:val="en-US"/>
        </w:rPr>
      </w:pPr>
      <w:r w:rsidRPr="00241E56">
        <w:rPr>
          <w:rFonts w:ascii="Arial" w:hAnsi="Arial" w:cs="Arial"/>
          <w:lang w:val="en-US"/>
        </w:rPr>
        <w:t xml:space="preserve">Oncolytic viruses (OVs) are a class of </w:t>
      </w:r>
      <w:r w:rsidR="0025000F" w:rsidRPr="00241E56">
        <w:rPr>
          <w:rFonts w:ascii="Arial" w:hAnsi="Arial" w:cs="Arial"/>
          <w:lang w:val="en-US"/>
        </w:rPr>
        <w:t>onco-immunotherapeutics</w:t>
      </w:r>
      <w:r w:rsidRPr="00241E56">
        <w:rPr>
          <w:rFonts w:ascii="Arial" w:hAnsi="Arial" w:cs="Arial"/>
          <w:lang w:val="en-US"/>
        </w:rPr>
        <w:t xml:space="preserve">. </w:t>
      </w:r>
      <w:r w:rsidR="00635425" w:rsidRPr="00241E56">
        <w:rPr>
          <w:rFonts w:ascii="Arial" w:hAnsi="Arial" w:cs="Arial"/>
          <w:lang w:val="en-US"/>
        </w:rPr>
        <w:t xml:space="preserve">Besides the natural ability to infect and kill tumor cells, oncolytic viruses elicit immune-active mechanisms in cancer therapy. They are based on either natural or engineered viral genomes; following inactivation of genes associated to replicative potential in normal cells, attenuated versions of oncolytic viruses possess a spectrum of replication mainly restricted to tumors; this feature accounts on properties commonly shared by cancer cells, such as their altered ability to activate interferon responses. Attenuation of viral replication does indeed represent a strategy to provide safety of treatments via tumor selectivity. </w:t>
      </w:r>
      <w:r w:rsidRPr="00241E56">
        <w:rPr>
          <w:rFonts w:ascii="Arial" w:hAnsi="Arial" w:cs="Arial"/>
          <w:lang w:val="en-US"/>
        </w:rPr>
        <w:t xml:space="preserve">The tropism-retargeted </w:t>
      </w:r>
      <w:r w:rsidRPr="00241E56">
        <w:rPr>
          <w:rFonts w:ascii="Arial" w:hAnsi="Arial" w:cs="Arial"/>
          <w:i/>
          <w:iCs/>
          <w:lang w:val="en-US"/>
        </w:rPr>
        <w:t>H</w:t>
      </w:r>
      <w:r w:rsidR="0025000F" w:rsidRPr="00241E56">
        <w:rPr>
          <w:rFonts w:ascii="Arial" w:hAnsi="Arial" w:cs="Arial"/>
          <w:i/>
          <w:iCs/>
          <w:lang w:val="en-US"/>
        </w:rPr>
        <w:t xml:space="preserve">. </w:t>
      </w:r>
      <w:r w:rsidRPr="00241E56">
        <w:rPr>
          <w:rFonts w:ascii="Arial" w:hAnsi="Arial" w:cs="Arial"/>
          <w:i/>
          <w:iCs/>
          <w:lang w:val="en-US"/>
        </w:rPr>
        <w:t>simplex</w:t>
      </w:r>
      <w:r w:rsidRPr="00241E56">
        <w:rPr>
          <w:rFonts w:ascii="Arial" w:hAnsi="Arial" w:cs="Arial"/>
          <w:lang w:val="en-US"/>
        </w:rPr>
        <w:t xml:space="preserve"> viruses </w:t>
      </w:r>
      <w:r w:rsidR="0025000F" w:rsidRPr="00241E56">
        <w:rPr>
          <w:rFonts w:ascii="Arial" w:hAnsi="Arial" w:cs="Arial"/>
          <w:lang w:val="en-US"/>
        </w:rPr>
        <w:t xml:space="preserve">(ReHVs) </w:t>
      </w:r>
      <w:r w:rsidRPr="00241E56">
        <w:rPr>
          <w:rFonts w:ascii="Arial" w:hAnsi="Arial" w:cs="Arial"/>
          <w:lang w:val="en-US"/>
        </w:rPr>
        <w:t>constitute a novel precision medicine class of O</w:t>
      </w:r>
      <w:r w:rsidR="0025000F" w:rsidRPr="00241E56">
        <w:rPr>
          <w:rFonts w:ascii="Arial" w:hAnsi="Arial" w:cs="Arial"/>
          <w:lang w:val="en-US"/>
        </w:rPr>
        <w:t>V</w:t>
      </w:r>
      <w:r w:rsidRPr="00241E56">
        <w:rPr>
          <w:rFonts w:ascii="Arial" w:hAnsi="Arial" w:cs="Arial"/>
          <w:lang w:val="en-US"/>
        </w:rPr>
        <w:t xml:space="preserve">s; </w:t>
      </w:r>
      <w:r w:rsidR="0025000F" w:rsidRPr="00241E56">
        <w:rPr>
          <w:rFonts w:ascii="Arial" w:hAnsi="Arial" w:cs="Arial"/>
          <w:lang w:val="en-US"/>
        </w:rPr>
        <w:t xml:space="preserve">while being detargeted from their natural receptors, </w:t>
      </w:r>
      <w:r w:rsidRPr="00241E56">
        <w:rPr>
          <w:rFonts w:ascii="Arial" w:hAnsi="Arial" w:cs="Arial"/>
          <w:lang w:val="en-US"/>
        </w:rPr>
        <w:t>they can be specifically addressed to specific tumor-associated antigens</w:t>
      </w:r>
      <w:r w:rsidR="0025000F" w:rsidRPr="00241E56">
        <w:rPr>
          <w:rFonts w:ascii="Arial" w:hAnsi="Arial" w:cs="Arial"/>
          <w:lang w:val="en-US"/>
        </w:rPr>
        <w:t xml:space="preserve"> by substitution of</w:t>
      </w:r>
      <w:r w:rsidR="00E96ABF" w:rsidRPr="00241E56">
        <w:rPr>
          <w:rFonts w:ascii="Arial" w:hAnsi="Arial" w:cs="Arial"/>
          <w:lang w:val="en-US"/>
        </w:rPr>
        <w:t xml:space="preserve"> selected</w:t>
      </w:r>
      <w:r w:rsidR="0025000F" w:rsidRPr="00241E56">
        <w:rPr>
          <w:rFonts w:ascii="Arial" w:hAnsi="Arial" w:cs="Arial"/>
          <w:lang w:val="en-US"/>
        </w:rPr>
        <w:t xml:space="preserve"> </w:t>
      </w:r>
      <w:r w:rsidR="00E96ABF" w:rsidRPr="00241E56">
        <w:rPr>
          <w:rFonts w:ascii="Arial" w:hAnsi="Arial" w:cs="Arial"/>
          <w:lang w:val="en-US"/>
        </w:rPr>
        <w:t xml:space="preserve">gD, gB, gH </w:t>
      </w:r>
      <w:r w:rsidR="0025000F" w:rsidRPr="00241E56">
        <w:rPr>
          <w:rFonts w:ascii="Arial" w:hAnsi="Arial" w:cs="Arial"/>
          <w:lang w:val="en-US"/>
        </w:rPr>
        <w:t xml:space="preserve">viral </w:t>
      </w:r>
      <w:r w:rsidR="00E96ABF" w:rsidRPr="00241E56">
        <w:rPr>
          <w:rFonts w:ascii="Arial" w:hAnsi="Arial" w:cs="Arial"/>
          <w:lang w:val="en-US"/>
        </w:rPr>
        <w:t xml:space="preserve">glycoprotein </w:t>
      </w:r>
      <w:r w:rsidR="0025000F" w:rsidRPr="00241E56">
        <w:rPr>
          <w:rFonts w:ascii="Arial" w:hAnsi="Arial" w:cs="Arial"/>
          <w:lang w:val="en-US"/>
        </w:rPr>
        <w:t>regions with antibody fragments recognizing tumor cell surface receptors. A</w:t>
      </w:r>
      <w:r w:rsidRPr="00241E56">
        <w:rPr>
          <w:rFonts w:ascii="Arial" w:hAnsi="Arial" w:cs="Arial"/>
          <w:lang w:val="en-US"/>
        </w:rPr>
        <w:t>ccordingly, they gain safety from specificity rather than from attenuation.</w:t>
      </w:r>
      <w:r w:rsidR="0025000F" w:rsidRPr="00241E56">
        <w:rPr>
          <w:rFonts w:ascii="Arial" w:hAnsi="Arial" w:cs="Arial"/>
          <w:lang w:val="en-US"/>
        </w:rPr>
        <w:t xml:space="preserve"> T</w:t>
      </w:r>
      <w:r w:rsidRPr="00241E56">
        <w:rPr>
          <w:rFonts w:ascii="Arial" w:hAnsi="Arial" w:cs="Arial"/>
          <w:lang w:val="en-US"/>
        </w:rPr>
        <w:t xml:space="preserve">o expand the </w:t>
      </w:r>
      <w:r w:rsidR="000735FD" w:rsidRPr="00241E56">
        <w:rPr>
          <w:rFonts w:ascii="Arial" w:hAnsi="Arial" w:cs="Arial"/>
          <w:lang w:val="en-US"/>
        </w:rPr>
        <w:t xml:space="preserve">available </w:t>
      </w:r>
      <w:r w:rsidRPr="00241E56">
        <w:rPr>
          <w:rFonts w:ascii="Arial" w:hAnsi="Arial" w:cs="Arial"/>
          <w:lang w:val="en-US"/>
        </w:rPr>
        <w:t xml:space="preserve">repertoire of ReHVs, </w:t>
      </w:r>
      <w:r w:rsidR="0025000F" w:rsidRPr="00241E56">
        <w:rPr>
          <w:rFonts w:ascii="Arial" w:hAnsi="Arial" w:cs="Arial"/>
          <w:lang w:val="en-US"/>
        </w:rPr>
        <w:t xml:space="preserve">we are focusing on recognition of non-protein tumor antigens, such as gangliosides </w:t>
      </w:r>
      <w:r w:rsidR="00964547" w:rsidRPr="00241E56">
        <w:rPr>
          <w:rFonts w:ascii="Arial" w:hAnsi="Arial" w:cs="Arial"/>
          <w:lang w:val="en-US"/>
        </w:rPr>
        <w:t>selective</w:t>
      </w:r>
      <w:r w:rsidR="0025000F" w:rsidRPr="00241E56">
        <w:rPr>
          <w:rFonts w:ascii="Arial" w:hAnsi="Arial" w:cs="Arial"/>
          <w:lang w:val="en-US"/>
        </w:rPr>
        <w:t xml:space="preserve">ly expressed by cancer cells. </w:t>
      </w:r>
      <w:r w:rsidR="000735FD" w:rsidRPr="00241E56">
        <w:rPr>
          <w:rFonts w:ascii="Arial" w:hAnsi="Arial" w:cs="Arial"/>
          <w:lang w:val="en-US"/>
        </w:rPr>
        <w:t>GD2 is a ganglioside gaining therapeutic relevance due to its minimal presence in normal tissues, and high expression in head and neck cancer, as well as in tumors like glioblastoma, melanoma and neuroblastoma. It plays central roles in cell signaling and tumor progression, making it an attractive target for cancer immunotherapy as well, as justified by the recent development of both monoclonals, and CAR-T cells. Within this framework, our current efforts are aiming to the generation of GD2-retargeted OVs and related, cellular and preclinical models, to explore the therapeutic potential of such</w:t>
      </w:r>
      <w:r w:rsidR="00971B88" w:rsidRPr="00241E56">
        <w:rPr>
          <w:rFonts w:ascii="Arial" w:hAnsi="Arial" w:cs="Arial"/>
          <w:lang w:val="en-US"/>
        </w:rPr>
        <w:t xml:space="preserve"> strategy.</w:t>
      </w:r>
    </w:p>
    <w:p w14:paraId="65D046DC" w14:textId="77777777" w:rsidR="00FD54BF" w:rsidRPr="00241E56" w:rsidRDefault="00FD54BF">
      <w:pPr>
        <w:rPr>
          <w:rFonts w:ascii="Arial" w:hAnsi="Arial" w:cs="Arial"/>
          <w:lang w:val="en-US"/>
        </w:rPr>
      </w:pPr>
    </w:p>
    <w:p w14:paraId="2F42934F" w14:textId="3937A01D" w:rsidR="00FD54BF" w:rsidRPr="00241E56" w:rsidRDefault="009F211E">
      <w:pPr>
        <w:rPr>
          <w:rFonts w:ascii="Arial" w:hAnsi="Arial" w:cs="Arial"/>
          <w:lang w:val="en-US"/>
        </w:rPr>
      </w:pPr>
      <w:r w:rsidRPr="00241E56">
        <w:rPr>
          <w:rFonts w:ascii="Arial" w:hAnsi="Arial" w:cs="Arial"/>
          <w:b/>
          <w:bCs/>
          <w:lang w:val="en-US"/>
        </w:rPr>
        <w:t>PUBLICATIONS</w:t>
      </w:r>
      <w:r w:rsidR="00FD54BF" w:rsidRPr="00241E56">
        <w:rPr>
          <w:rFonts w:ascii="Arial" w:hAnsi="Arial" w:cs="Arial"/>
          <w:lang w:val="en-US"/>
        </w:rPr>
        <w:t xml:space="preserve"> (</w:t>
      </w:r>
      <w:r w:rsidR="00172C27">
        <w:rPr>
          <w:rFonts w:ascii="Arial" w:hAnsi="Arial" w:cs="Arial"/>
          <w:lang w:val="en-US"/>
        </w:rPr>
        <w:t>only</w:t>
      </w:r>
      <w:r w:rsidR="00FD54BF" w:rsidRPr="00241E56">
        <w:rPr>
          <w:rFonts w:ascii="Arial" w:hAnsi="Arial" w:cs="Arial"/>
          <w:lang w:val="en-US"/>
        </w:rPr>
        <w:t xml:space="preserve"> 5 </w:t>
      </w:r>
      <w:r w:rsidR="00172C27">
        <w:rPr>
          <w:rFonts w:ascii="Arial" w:hAnsi="Arial" w:cs="Arial"/>
          <w:lang w:val="en-US"/>
        </w:rPr>
        <w:t xml:space="preserve"> from the </w:t>
      </w:r>
      <w:r w:rsidRPr="00241E56">
        <w:rPr>
          <w:rFonts w:ascii="Arial" w:hAnsi="Arial" w:cs="Arial"/>
          <w:lang w:val="en-US"/>
        </w:rPr>
        <w:t>last 5 years</w:t>
      </w:r>
      <w:r w:rsidR="00FD54BF" w:rsidRPr="00241E56">
        <w:rPr>
          <w:rFonts w:ascii="Arial" w:hAnsi="Arial" w:cs="Arial"/>
          <w:lang w:val="en-US"/>
        </w:rPr>
        <w:t>)</w:t>
      </w:r>
      <w:r w:rsidR="005E3DA9" w:rsidRPr="00241E56">
        <w:rPr>
          <w:rFonts w:ascii="Arial" w:hAnsi="Arial" w:cs="Arial"/>
          <w:lang w:val="en-US"/>
        </w:rPr>
        <w:t xml:space="preserve"> </w:t>
      </w:r>
    </w:p>
    <w:p w14:paraId="6F49496E" w14:textId="260652FA" w:rsidR="00C63E84" w:rsidRPr="00241E56" w:rsidRDefault="00C63E84" w:rsidP="00FD54BF">
      <w:pPr>
        <w:pBdr>
          <w:top w:val="single" w:sz="4" w:space="1" w:color="auto"/>
          <w:left w:val="single" w:sz="4" w:space="4" w:color="auto"/>
          <w:bottom w:val="single" w:sz="4" w:space="1" w:color="auto"/>
          <w:right w:val="single" w:sz="4" w:space="4" w:color="auto"/>
        </w:pBdr>
        <w:rPr>
          <w:rFonts w:ascii="Arial" w:hAnsi="Arial" w:cs="Arial"/>
          <w:color w:val="212121"/>
          <w:shd w:val="clear" w:color="auto" w:fill="FFFFFF"/>
          <w:lang w:val="en-US"/>
        </w:rPr>
      </w:pPr>
      <w:r w:rsidRPr="00241E56">
        <w:rPr>
          <w:rFonts w:ascii="Arial" w:hAnsi="Arial" w:cs="Arial"/>
          <w:color w:val="212121"/>
          <w:shd w:val="clear" w:color="auto" w:fill="FFFFFF"/>
          <w:lang w:val="en-US"/>
        </w:rPr>
        <w:t xml:space="preserve">Sasso E, Froechlich G, Cotugno G, D'Alise AM, Gentile C, Bignone V, De Lucia M, Petrovic B, Campadelli-Fiume G, Scarselli E, Nicosia A, Zambrano N. Replicative conditioning of Herpes simplex type 1 virus by Survivin promoter, combined to ERBB2 retargeting, improves tumour cell-restricted oncolysis. </w:t>
      </w:r>
      <w:r w:rsidRPr="00241E56">
        <w:rPr>
          <w:rFonts w:ascii="Arial" w:hAnsi="Arial" w:cs="Arial"/>
          <w:color w:val="212121"/>
          <w:shd w:val="clear" w:color="auto" w:fill="FFFFFF"/>
        </w:rPr>
        <w:t xml:space="preserve">Sci Rep. 2020 Mar 9;10(1):4307. doi: 10.1038/s41598-020-61275-w. </w:t>
      </w:r>
    </w:p>
    <w:p w14:paraId="46D18351" w14:textId="77777777" w:rsidR="00C63E84" w:rsidRPr="00241E56" w:rsidRDefault="00C63E84" w:rsidP="00FD54BF">
      <w:pPr>
        <w:pBdr>
          <w:top w:val="single" w:sz="4" w:space="1" w:color="auto"/>
          <w:left w:val="single" w:sz="4" w:space="4" w:color="auto"/>
          <w:bottom w:val="single" w:sz="4" w:space="1" w:color="auto"/>
          <w:right w:val="single" w:sz="4" w:space="4" w:color="auto"/>
        </w:pBdr>
        <w:rPr>
          <w:rFonts w:ascii="Arial" w:hAnsi="Arial" w:cs="Arial"/>
          <w:color w:val="212121"/>
          <w:shd w:val="clear" w:color="auto" w:fill="FFFFFF"/>
          <w:lang w:val="en-US"/>
        </w:rPr>
      </w:pPr>
    </w:p>
    <w:p w14:paraId="20735D55" w14:textId="5BA9FD83" w:rsidR="00FD54BF" w:rsidRPr="00241E56" w:rsidRDefault="00C63E84" w:rsidP="00FD54BF">
      <w:pPr>
        <w:pBdr>
          <w:top w:val="single" w:sz="4" w:space="1" w:color="auto"/>
          <w:left w:val="single" w:sz="4" w:space="4" w:color="auto"/>
          <w:bottom w:val="single" w:sz="4" w:space="1" w:color="auto"/>
          <w:right w:val="single" w:sz="4" w:space="4" w:color="auto"/>
        </w:pBdr>
        <w:rPr>
          <w:rFonts w:ascii="Arial" w:hAnsi="Arial" w:cs="Arial"/>
          <w:color w:val="212121"/>
          <w:shd w:val="clear" w:color="auto" w:fill="FFFFFF"/>
          <w:lang w:val="en-US"/>
        </w:rPr>
      </w:pPr>
      <w:r w:rsidRPr="00241E56">
        <w:rPr>
          <w:rFonts w:ascii="Arial" w:hAnsi="Arial" w:cs="Arial"/>
          <w:color w:val="212121"/>
          <w:shd w:val="clear" w:color="auto" w:fill="FFFFFF"/>
          <w:lang w:val="en-US"/>
        </w:rPr>
        <w:t>Froechlich G, Caiazza C, Gentile C, D'Alise AM, De Lucia M, Langone F, Leoni G, Cotugno G, Scisciola V, Nicosia A, Scarselli E, Mallardo M, Sasso E, Zambrano N. Integrity of the Antiviral STING-mediated DNA Sensing in Tumor Cells Is Required to Sustain the Immunotherapeutic Efficacy of </w:t>
      </w:r>
      <w:r w:rsidRPr="00241E56">
        <w:rPr>
          <w:rFonts w:ascii="Arial" w:hAnsi="Arial" w:cs="Arial"/>
          <w:i/>
          <w:iCs/>
          <w:color w:val="212121"/>
          <w:shd w:val="clear" w:color="auto" w:fill="FFFFFF"/>
          <w:lang w:val="en-US"/>
        </w:rPr>
        <w:t>Herpes Simplex</w:t>
      </w:r>
      <w:r w:rsidRPr="00241E56">
        <w:rPr>
          <w:rFonts w:ascii="Arial" w:hAnsi="Arial" w:cs="Arial"/>
          <w:color w:val="212121"/>
          <w:shd w:val="clear" w:color="auto" w:fill="FFFFFF"/>
          <w:lang w:val="en-US"/>
        </w:rPr>
        <w:t xml:space="preserve"> Oncolytic Virus. Cancers (Basel). 2020 Nov 17;12(11):3407. doi: 10.3390/cancers12113407. </w:t>
      </w:r>
    </w:p>
    <w:p w14:paraId="18001FB6" w14:textId="77777777" w:rsidR="00C63E84" w:rsidRPr="00241E56" w:rsidRDefault="00C63E84" w:rsidP="00FD54BF">
      <w:pPr>
        <w:pBdr>
          <w:top w:val="single" w:sz="4" w:space="1" w:color="auto"/>
          <w:left w:val="single" w:sz="4" w:space="4" w:color="auto"/>
          <w:bottom w:val="single" w:sz="4" w:space="1" w:color="auto"/>
          <w:right w:val="single" w:sz="4" w:space="4" w:color="auto"/>
        </w:pBdr>
        <w:rPr>
          <w:rFonts w:ascii="Arial" w:hAnsi="Arial" w:cs="Arial"/>
          <w:color w:val="212121"/>
          <w:shd w:val="clear" w:color="auto" w:fill="FFFFFF"/>
          <w:lang w:val="en-US"/>
        </w:rPr>
      </w:pPr>
    </w:p>
    <w:p w14:paraId="7BF89294" w14:textId="236F6960" w:rsidR="00C63E84" w:rsidRPr="00241E56" w:rsidRDefault="00C63E84" w:rsidP="00FD54BF">
      <w:pPr>
        <w:pBdr>
          <w:top w:val="single" w:sz="4" w:space="1" w:color="auto"/>
          <w:left w:val="single" w:sz="4" w:space="4" w:color="auto"/>
          <w:bottom w:val="single" w:sz="4" w:space="1" w:color="auto"/>
          <w:right w:val="single" w:sz="4" w:space="4" w:color="auto"/>
        </w:pBdr>
        <w:rPr>
          <w:rFonts w:ascii="Arial" w:hAnsi="Arial" w:cs="Arial"/>
          <w:color w:val="212121"/>
          <w:shd w:val="clear" w:color="auto" w:fill="FFFFFF"/>
        </w:rPr>
      </w:pPr>
      <w:r w:rsidRPr="00241E56">
        <w:rPr>
          <w:rFonts w:ascii="Arial" w:hAnsi="Arial" w:cs="Arial"/>
          <w:color w:val="212121"/>
          <w:shd w:val="clear" w:color="auto" w:fill="FFFFFF"/>
        </w:rPr>
        <w:lastRenderedPageBreak/>
        <w:t xml:space="preserve">Sasso E, D'Alise AM, Zambrano N, Scarselli E, Folgori A, Nicosia A. New viral vectors for infectious diseases and cancer. Semin Immunol. 2020 Aug;50:101430. doi: 10.1016/j.smim.2020.101430. </w:t>
      </w:r>
    </w:p>
    <w:p w14:paraId="03792741" w14:textId="77777777" w:rsidR="00C63E84" w:rsidRPr="00241E56" w:rsidRDefault="00C63E84" w:rsidP="00FD54BF">
      <w:pPr>
        <w:pBdr>
          <w:top w:val="single" w:sz="4" w:space="1" w:color="auto"/>
          <w:left w:val="single" w:sz="4" w:space="4" w:color="auto"/>
          <w:bottom w:val="single" w:sz="4" w:space="1" w:color="auto"/>
          <w:right w:val="single" w:sz="4" w:space="4" w:color="auto"/>
        </w:pBdr>
        <w:rPr>
          <w:rFonts w:ascii="Arial" w:hAnsi="Arial" w:cs="Arial"/>
          <w:color w:val="212121"/>
          <w:shd w:val="clear" w:color="auto" w:fill="FFFFFF"/>
        </w:rPr>
      </w:pPr>
    </w:p>
    <w:p w14:paraId="0D04833A" w14:textId="042A591A" w:rsidR="00C63E84" w:rsidRPr="00241E56" w:rsidRDefault="00C63E84" w:rsidP="00FD54BF">
      <w:pPr>
        <w:pBdr>
          <w:top w:val="single" w:sz="4" w:space="1" w:color="auto"/>
          <w:left w:val="single" w:sz="4" w:space="4" w:color="auto"/>
          <w:bottom w:val="single" w:sz="4" w:space="1" w:color="auto"/>
          <w:right w:val="single" w:sz="4" w:space="4" w:color="auto"/>
        </w:pBdr>
        <w:rPr>
          <w:rFonts w:ascii="Arial" w:hAnsi="Arial" w:cs="Arial"/>
          <w:color w:val="212121"/>
          <w:shd w:val="clear" w:color="auto" w:fill="FFFFFF"/>
        </w:rPr>
      </w:pPr>
      <w:r w:rsidRPr="00241E56">
        <w:rPr>
          <w:rFonts w:ascii="Arial" w:hAnsi="Arial" w:cs="Arial"/>
          <w:color w:val="212121"/>
          <w:shd w:val="clear" w:color="auto" w:fill="FFFFFF"/>
          <w:lang w:val="en-US"/>
        </w:rPr>
        <w:t xml:space="preserve">Froechlich G, Finizio A, Napolano A, Amiranda S, De Chiara A, Pagano P, Mallardo M, Leoni G, Zambrano N, Sasso E. The common H232 STING allele shows impaired activities in DNA sensing, susceptibility to viral infection, and in monocyte cell function, while the HAQ variant possesses wild-type properties. </w:t>
      </w:r>
      <w:r w:rsidRPr="00241E56">
        <w:rPr>
          <w:rFonts w:ascii="Arial" w:hAnsi="Arial" w:cs="Arial"/>
          <w:color w:val="212121"/>
          <w:shd w:val="clear" w:color="auto" w:fill="FFFFFF"/>
        </w:rPr>
        <w:t xml:space="preserve">Sci Rep. 2023 Nov 9;13(1):19541. doi: 10.1038/s41598-023-46830-5. </w:t>
      </w:r>
    </w:p>
    <w:p w14:paraId="1D2FD08C" w14:textId="77777777" w:rsidR="00C63E84" w:rsidRPr="00241E56" w:rsidRDefault="00C63E84" w:rsidP="00FD54BF">
      <w:pPr>
        <w:pBdr>
          <w:top w:val="single" w:sz="4" w:space="1" w:color="auto"/>
          <w:left w:val="single" w:sz="4" w:space="4" w:color="auto"/>
          <w:bottom w:val="single" w:sz="4" w:space="1" w:color="auto"/>
          <w:right w:val="single" w:sz="4" w:space="4" w:color="auto"/>
        </w:pBdr>
        <w:rPr>
          <w:rFonts w:ascii="Arial" w:hAnsi="Arial" w:cs="Arial"/>
          <w:color w:val="212121"/>
          <w:shd w:val="clear" w:color="auto" w:fill="FFFFFF"/>
        </w:rPr>
      </w:pPr>
    </w:p>
    <w:p w14:paraId="602F994A" w14:textId="67A8EA06" w:rsidR="00C63E84" w:rsidRPr="00241E56" w:rsidRDefault="00F14F7C" w:rsidP="00FD54BF">
      <w:pPr>
        <w:pBdr>
          <w:top w:val="single" w:sz="4" w:space="1" w:color="auto"/>
          <w:left w:val="single" w:sz="4" w:space="4" w:color="auto"/>
          <w:bottom w:val="single" w:sz="4" w:space="1" w:color="auto"/>
          <w:right w:val="single" w:sz="4" w:space="4" w:color="auto"/>
        </w:pBdr>
        <w:rPr>
          <w:rFonts w:ascii="Arial" w:hAnsi="Arial" w:cs="Arial"/>
          <w:color w:val="212121"/>
          <w:shd w:val="clear" w:color="auto" w:fill="FFFFFF"/>
          <w:lang w:val="en-US"/>
        </w:rPr>
      </w:pPr>
      <w:r w:rsidRPr="00241E56">
        <w:rPr>
          <w:rFonts w:ascii="Arial" w:hAnsi="Arial" w:cs="Arial"/>
          <w:color w:val="212121"/>
          <w:shd w:val="clear" w:color="auto" w:fill="FFFFFF"/>
        </w:rPr>
        <w:t xml:space="preserve">Finizio A, Pagano P, Napolano A, Froechlich G, Infante L, De Chiara A, Amiranda S, Vitiello E, Totaro S, Capasso C, Raia M, D'Alise AM, de Candia P, Zambrano N, Sasso E. Integrating system biology and intratumor gene therapy by trans-complementing the appropriate co-stimulatory molecule as payload in oncolytic herpes virus. </w:t>
      </w:r>
      <w:r w:rsidRPr="00241E56">
        <w:rPr>
          <w:rFonts w:ascii="Arial" w:hAnsi="Arial" w:cs="Arial"/>
          <w:color w:val="212121"/>
          <w:shd w:val="clear" w:color="auto" w:fill="FFFFFF"/>
          <w:lang w:val="en-US"/>
        </w:rPr>
        <w:t xml:space="preserve">Cancer Gene Ther. 2024 Sep;31(9):1335-1343. doi: 10.1038/s41417-024-00790-8. </w:t>
      </w:r>
    </w:p>
    <w:p w14:paraId="25977EC1" w14:textId="77777777" w:rsidR="00FD54BF" w:rsidRPr="00241E56" w:rsidRDefault="00FD54BF" w:rsidP="00FD54BF">
      <w:pPr>
        <w:pBdr>
          <w:top w:val="single" w:sz="4" w:space="1" w:color="auto"/>
          <w:left w:val="single" w:sz="4" w:space="4" w:color="auto"/>
          <w:bottom w:val="single" w:sz="4" w:space="1" w:color="auto"/>
          <w:right w:val="single" w:sz="4" w:space="4" w:color="auto"/>
        </w:pBdr>
        <w:rPr>
          <w:rFonts w:ascii="Arial" w:hAnsi="Arial" w:cs="Arial"/>
          <w:lang w:val="en-US"/>
        </w:rPr>
      </w:pPr>
    </w:p>
    <w:p w14:paraId="6730BE66" w14:textId="77777777" w:rsidR="00FD54BF" w:rsidRPr="00241E56" w:rsidRDefault="00FD54BF">
      <w:pPr>
        <w:rPr>
          <w:rFonts w:ascii="Arial" w:hAnsi="Arial" w:cs="Arial"/>
          <w:lang w:val="en-US"/>
        </w:rPr>
      </w:pPr>
    </w:p>
    <w:p w14:paraId="123A8834" w14:textId="5626CF21" w:rsidR="00FD54BF" w:rsidRPr="00241E56" w:rsidRDefault="009F211E">
      <w:pPr>
        <w:rPr>
          <w:rFonts w:ascii="Arial" w:hAnsi="Arial" w:cs="Arial"/>
          <w:lang w:val="en-US"/>
        </w:rPr>
      </w:pPr>
      <w:r w:rsidRPr="00241E56">
        <w:rPr>
          <w:rFonts w:ascii="Arial" w:hAnsi="Arial" w:cs="Arial"/>
          <w:b/>
          <w:bCs/>
          <w:lang w:val="en-US"/>
        </w:rPr>
        <w:t>FUNDING</w:t>
      </w:r>
      <w:r w:rsidRPr="00241E56">
        <w:rPr>
          <w:rFonts w:ascii="Arial" w:hAnsi="Arial" w:cs="Arial"/>
          <w:lang w:val="en-US"/>
        </w:rPr>
        <w:t xml:space="preserve"> (</w:t>
      </w:r>
    </w:p>
    <w:p w14:paraId="67A2AD50" w14:textId="29E514DC" w:rsidR="005310A5" w:rsidRPr="00241E56" w:rsidRDefault="009F3774" w:rsidP="00FD54BF">
      <w:pPr>
        <w:pBdr>
          <w:top w:val="single" w:sz="4" w:space="1" w:color="auto"/>
          <w:left w:val="single" w:sz="4" w:space="4" w:color="auto"/>
          <w:bottom w:val="single" w:sz="4" w:space="1" w:color="auto"/>
          <w:right w:val="single" w:sz="4" w:space="4" w:color="auto"/>
        </w:pBdr>
        <w:rPr>
          <w:rFonts w:ascii="Arial" w:hAnsi="Arial" w:cs="Arial"/>
          <w:lang w:val="en-US"/>
        </w:rPr>
      </w:pPr>
      <w:r w:rsidRPr="00241E56">
        <w:rPr>
          <w:rFonts w:ascii="Arial" w:hAnsi="Arial" w:cs="Arial"/>
          <w:lang w:val="en-US"/>
        </w:rPr>
        <w:t xml:space="preserve">MiUR, PRIN 2022 Project code </w:t>
      </w:r>
      <w:r w:rsidRPr="00241E56">
        <w:rPr>
          <w:rFonts w:ascii="Arial" w:hAnsi="Arial" w:cs="Arial"/>
          <w:color w:val="191C1F"/>
          <w:kern w:val="0"/>
          <w:sz w:val="23"/>
          <w:szCs w:val="23"/>
          <w:lang w:val="en-US"/>
        </w:rPr>
        <w:t>20224NCSN5</w:t>
      </w:r>
      <w:r w:rsidRPr="00241E56">
        <w:rPr>
          <w:rFonts w:ascii="Arial" w:hAnsi="Arial" w:cs="Arial"/>
          <w:lang w:val="en-US"/>
        </w:rPr>
        <w:t xml:space="preserve">, </w:t>
      </w:r>
      <w:r w:rsidR="00C55BEF" w:rsidRPr="00241E56">
        <w:rPr>
          <w:rFonts w:ascii="Arial" w:hAnsi="Arial" w:cs="Arial"/>
          <w:lang w:val="en-US"/>
        </w:rPr>
        <w:t xml:space="preserve">A </w:t>
      </w:r>
      <w:r w:rsidR="00C55BEF" w:rsidRPr="00241E56">
        <w:rPr>
          <w:rFonts w:ascii="Arial" w:hAnsi="Arial" w:cs="Arial"/>
          <w:u w:val="single"/>
          <w:lang w:val="en-US"/>
        </w:rPr>
        <w:t>Pre</w:t>
      </w:r>
      <w:r w:rsidR="00C55BEF" w:rsidRPr="00241E56">
        <w:rPr>
          <w:rFonts w:ascii="Arial" w:hAnsi="Arial" w:cs="Arial"/>
          <w:lang w:val="en-US"/>
        </w:rPr>
        <w:t xml:space="preserve">clinical, Precision </w:t>
      </w:r>
      <w:r w:rsidR="00C55BEF" w:rsidRPr="00241E56">
        <w:rPr>
          <w:rFonts w:ascii="Arial" w:hAnsi="Arial" w:cs="Arial"/>
          <w:u w:val="single"/>
          <w:lang w:val="en-US"/>
        </w:rPr>
        <w:t>Me</w:t>
      </w:r>
      <w:r w:rsidR="00C55BEF" w:rsidRPr="00241E56">
        <w:rPr>
          <w:rFonts w:ascii="Arial" w:hAnsi="Arial" w:cs="Arial"/>
          <w:lang w:val="en-US"/>
        </w:rPr>
        <w:t xml:space="preserve">dicine Approach Based on </w:t>
      </w:r>
      <w:r w:rsidR="00C55BEF" w:rsidRPr="00241E56">
        <w:rPr>
          <w:rFonts w:ascii="Arial" w:hAnsi="Arial" w:cs="Arial"/>
          <w:u w:val="single"/>
          <w:lang w:val="en-US"/>
        </w:rPr>
        <w:t>Ret</w:t>
      </w:r>
      <w:r w:rsidR="00C55BEF" w:rsidRPr="00241E56">
        <w:rPr>
          <w:rFonts w:ascii="Arial" w:hAnsi="Arial" w:cs="Arial"/>
          <w:lang w:val="en-US"/>
        </w:rPr>
        <w:t xml:space="preserve">argeted </w:t>
      </w:r>
      <w:r w:rsidR="00C55BEF" w:rsidRPr="00241E56">
        <w:rPr>
          <w:rFonts w:ascii="Arial" w:hAnsi="Arial" w:cs="Arial"/>
          <w:u w:val="single"/>
          <w:lang w:val="en-US"/>
        </w:rPr>
        <w:t>H</w:t>
      </w:r>
      <w:r w:rsidR="00C55BEF" w:rsidRPr="00241E56">
        <w:rPr>
          <w:rFonts w:ascii="Arial" w:hAnsi="Arial" w:cs="Arial"/>
          <w:lang w:val="en-US"/>
        </w:rPr>
        <w:t xml:space="preserve">erpesviruses with </w:t>
      </w:r>
      <w:r w:rsidR="00C55BEF" w:rsidRPr="00241E56">
        <w:rPr>
          <w:rFonts w:ascii="Arial" w:hAnsi="Arial" w:cs="Arial"/>
          <w:u w:val="single"/>
          <w:lang w:val="en-US"/>
        </w:rPr>
        <w:t>On</w:t>
      </w:r>
      <w:r w:rsidR="00C55BEF" w:rsidRPr="00241E56">
        <w:rPr>
          <w:rFonts w:ascii="Arial" w:hAnsi="Arial" w:cs="Arial"/>
          <w:lang w:val="en-US"/>
        </w:rPr>
        <w:t xml:space="preserve">coimmunotherapeutic Potential (PreMeRetHOn), </w:t>
      </w:r>
      <w:r w:rsidR="00F63B70" w:rsidRPr="00241E56">
        <w:rPr>
          <w:rFonts w:ascii="Arial" w:hAnsi="Arial" w:cs="Arial"/>
          <w:lang w:val="en-US"/>
        </w:rPr>
        <w:t>November 2023 - February 2026.</w:t>
      </w:r>
    </w:p>
    <w:p w14:paraId="7E677424" w14:textId="77777777" w:rsidR="005310A5" w:rsidRPr="00241E56" w:rsidRDefault="005310A5" w:rsidP="005310A5">
      <w:pPr>
        <w:rPr>
          <w:rFonts w:ascii="Arial" w:hAnsi="Arial" w:cs="Arial"/>
          <w:lang w:val="en-US"/>
        </w:rPr>
      </w:pPr>
    </w:p>
    <w:p w14:paraId="4916F18C" w14:textId="77777777" w:rsidR="00FD54BF" w:rsidRPr="00241E56" w:rsidRDefault="00FD54BF">
      <w:pPr>
        <w:rPr>
          <w:rFonts w:ascii="Arial" w:hAnsi="Arial" w:cs="Arial"/>
          <w:lang w:val="en-US"/>
        </w:rPr>
      </w:pPr>
    </w:p>
    <w:sectPr w:rsidR="00FD54BF" w:rsidRPr="00241E56" w:rsidSect="0000583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4BF"/>
    <w:rsid w:val="00005835"/>
    <w:rsid w:val="000508FF"/>
    <w:rsid w:val="00053C76"/>
    <w:rsid w:val="000735FD"/>
    <w:rsid w:val="00172C27"/>
    <w:rsid w:val="00241E56"/>
    <w:rsid w:val="0025000F"/>
    <w:rsid w:val="002F2B3D"/>
    <w:rsid w:val="003C67B2"/>
    <w:rsid w:val="004076E2"/>
    <w:rsid w:val="00435D1E"/>
    <w:rsid w:val="004A0B63"/>
    <w:rsid w:val="005051E8"/>
    <w:rsid w:val="005310A5"/>
    <w:rsid w:val="005E3DA9"/>
    <w:rsid w:val="005F56C2"/>
    <w:rsid w:val="00603DDF"/>
    <w:rsid w:val="00635425"/>
    <w:rsid w:val="0087758B"/>
    <w:rsid w:val="00880BA1"/>
    <w:rsid w:val="008830F8"/>
    <w:rsid w:val="00951EDD"/>
    <w:rsid w:val="00964547"/>
    <w:rsid w:val="00971B88"/>
    <w:rsid w:val="009879E9"/>
    <w:rsid w:val="009F211E"/>
    <w:rsid w:val="009F3774"/>
    <w:rsid w:val="00B20A2C"/>
    <w:rsid w:val="00C12D2B"/>
    <w:rsid w:val="00C55BEF"/>
    <w:rsid w:val="00C63E84"/>
    <w:rsid w:val="00CB5D06"/>
    <w:rsid w:val="00CE202D"/>
    <w:rsid w:val="00D12072"/>
    <w:rsid w:val="00E96ABF"/>
    <w:rsid w:val="00EA525D"/>
    <w:rsid w:val="00F14F7C"/>
    <w:rsid w:val="00F63B70"/>
    <w:rsid w:val="00F877D5"/>
    <w:rsid w:val="00FD54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3CBDE7FB"/>
  <w15:chartTrackingRefBased/>
  <w15:docId w15:val="{F87D8A5B-5CA8-F141-A74C-31D3C49C7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FD54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FD54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FD54BF"/>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FD54BF"/>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FD54BF"/>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FD54BF"/>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D54BF"/>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D54BF"/>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D54BF"/>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D54B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FD54B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FD54BF"/>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FD54BF"/>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FD54BF"/>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FD54B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D54B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D54B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D54BF"/>
    <w:rPr>
      <w:rFonts w:eastAsiaTheme="majorEastAsia" w:cstheme="majorBidi"/>
      <w:color w:val="272727" w:themeColor="text1" w:themeTint="D8"/>
    </w:rPr>
  </w:style>
  <w:style w:type="paragraph" w:styleId="Titolo">
    <w:name w:val="Title"/>
    <w:basedOn w:val="Normale"/>
    <w:next w:val="Normale"/>
    <w:link w:val="TitoloCarattere"/>
    <w:uiPriority w:val="10"/>
    <w:qFormat/>
    <w:rsid w:val="00FD54BF"/>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D54B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D54BF"/>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D54B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D54BF"/>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FD54BF"/>
    <w:rPr>
      <w:i/>
      <w:iCs/>
      <w:color w:val="404040" w:themeColor="text1" w:themeTint="BF"/>
    </w:rPr>
  </w:style>
  <w:style w:type="paragraph" w:styleId="Paragrafoelenco">
    <w:name w:val="List Paragraph"/>
    <w:basedOn w:val="Normale"/>
    <w:uiPriority w:val="34"/>
    <w:qFormat/>
    <w:rsid w:val="00FD54BF"/>
    <w:pPr>
      <w:ind w:left="720"/>
      <w:contextualSpacing/>
    </w:pPr>
  </w:style>
  <w:style w:type="character" w:styleId="Enfasiintensa">
    <w:name w:val="Intense Emphasis"/>
    <w:basedOn w:val="Carpredefinitoparagrafo"/>
    <w:uiPriority w:val="21"/>
    <w:qFormat/>
    <w:rsid w:val="00FD54BF"/>
    <w:rPr>
      <w:i/>
      <w:iCs/>
      <w:color w:val="0F4761" w:themeColor="accent1" w:themeShade="BF"/>
    </w:rPr>
  </w:style>
  <w:style w:type="paragraph" w:styleId="Citazioneintensa">
    <w:name w:val="Intense Quote"/>
    <w:basedOn w:val="Normale"/>
    <w:next w:val="Normale"/>
    <w:link w:val="CitazioneintensaCarattere"/>
    <w:uiPriority w:val="30"/>
    <w:qFormat/>
    <w:rsid w:val="00FD54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D54BF"/>
    <w:rPr>
      <w:i/>
      <w:iCs/>
      <w:color w:val="0F4761" w:themeColor="accent1" w:themeShade="BF"/>
    </w:rPr>
  </w:style>
  <w:style w:type="character" w:styleId="Riferimentointenso">
    <w:name w:val="Intense Reference"/>
    <w:basedOn w:val="Carpredefinitoparagrafo"/>
    <w:uiPriority w:val="32"/>
    <w:qFormat/>
    <w:rsid w:val="00FD54BF"/>
    <w:rPr>
      <w:b/>
      <w:bCs/>
      <w:smallCaps/>
      <w:color w:val="0F4761" w:themeColor="accent1" w:themeShade="BF"/>
      <w:spacing w:val="5"/>
    </w:rPr>
  </w:style>
  <w:style w:type="character" w:styleId="Collegamentoipertestuale">
    <w:name w:val="Hyperlink"/>
    <w:basedOn w:val="Carpredefinitoparagrafo"/>
    <w:uiPriority w:val="99"/>
    <w:unhideWhenUsed/>
    <w:rsid w:val="00CB5D06"/>
    <w:rPr>
      <w:color w:val="467886" w:themeColor="hyperlink"/>
      <w:u w:val="single"/>
    </w:rPr>
  </w:style>
  <w:style w:type="character" w:styleId="Menzionenonrisolta">
    <w:name w:val="Unresolved Mention"/>
    <w:basedOn w:val="Carpredefinitoparagrafo"/>
    <w:uiPriority w:val="99"/>
    <w:rsid w:val="00CB5D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ocenti.unin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2</Pages>
  <Words>648</Words>
  <Characters>3698</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CARLOMAGNO</dc:creator>
  <cp:keywords/>
  <dc:description/>
  <cp:lastModifiedBy>FRANCESCA CARLOMAGNO</cp:lastModifiedBy>
  <cp:revision>17</cp:revision>
  <dcterms:created xsi:type="dcterms:W3CDTF">2025-07-09T13:58:00Z</dcterms:created>
  <dcterms:modified xsi:type="dcterms:W3CDTF">2025-11-03T16:48:00Z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2025-07-02T10:44:54Z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c146613d-f4d0-4690-a03c-fd203b3b3f55</vt:lpwstr>
  </property>
  <property fmtid="{D5CDD505-2E9C-101B-9397-08002B2CF9AE}" pid="8" name="MSIP_Label_2ad0b24d-6422-44b0-b3de-abb3a9e8c81a_ContentBits">
    <vt:lpwstr>0</vt:lpwstr>
  </property>
  <property fmtid="{D5CDD505-2E9C-101B-9397-08002B2CF9AE}" pid="9" name="MSIP_Label_2ad0b24d-6422-44b0-b3de-abb3a9e8c81a_Tag">
    <vt:lpwstr>50, 3, 0, 1</vt:lpwstr>
  </property>
</Properties>
</file>