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B70D5" w14:textId="13F8CAFA" w:rsidR="00FD54BF" w:rsidRPr="0087758B" w:rsidRDefault="009F211E">
      <w:pPr>
        <w:rPr>
          <w:rFonts w:ascii="Arial" w:hAnsi="Arial" w:cs="Arial"/>
          <w:b/>
          <w:bCs/>
        </w:rPr>
      </w:pPr>
      <w:r w:rsidRPr="0087758B">
        <w:rPr>
          <w:rFonts w:ascii="Arial" w:hAnsi="Arial" w:cs="Arial"/>
          <w:b/>
          <w:bCs/>
        </w:rPr>
        <w:t xml:space="preserve">PI </w:t>
      </w:r>
    </w:p>
    <w:p w14:paraId="4497EA79" w14:textId="5499B5DF" w:rsidR="00FD54BF" w:rsidRPr="009F211E" w:rsidRDefault="00AF1164" w:rsidP="00FD54BF">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Rosario Avolio</w:t>
      </w:r>
      <w:r w:rsidR="00B122AE">
        <w:rPr>
          <w:rFonts w:ascii="Arial" w:hAnsi="Arial" w:cs="Arial"/>
        </w:rPr>
        <w:t>, RTD</w:t>
      </w:r>
    </w:p>
    <w:p w14:paraId="2FA46921" w14:textId="77777777" w:rsidR="00FD54BF" w:rsidRPr="009F211E" w:rsidRDefault="00FD54BF">
      <w:pPr>
        <w:rPr>
          <w:rFonts w:ascii="Arial" w:hAnsi="Arial" w:cs="Arial"/>
        </w:rPr>
      </w:pPr>
    </w:p>
    <w:p w14:paraId="30797954" w14:textId="27E309F9" w:rsidR="00FD54BF" w:rsidRDefault="009F211E">
      <w:pPr>
        <w:rPr>
          <w:rFonts w:ascii="Arial" w:hAnsi="Arial" w:cs="Arial"/>
          <w:b/>
          <w:bCs/>
        </w:rPr>
      </w:pPr>
      <w:r w:rsidRPr="0087758B">
        <w:rPr>
          <w:rFonts w:ascii="Arial" w:hAnsi="Arial" w:cs="Arial"/>
          <w:b/>
          <w:bCs/>
        </w:rPr>
        <w:t>GROUP</w:t>
      </w:r>
    </w:p>
    <w:p w14:paraId="7234AD83" w14:textId="4D3BC133" w:rsidR="001217A3" w:rsidRPr="009F211E" w:rsidRDefault="001217A3" w:rsidP="001217A3">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None</w:t>
      </w:r>
    </w:p>
    <w:p w14:paraId="2417F220" w14:textId="77777777" w:rsidR="00053C76" w:rsidRDefault="00053C76" w:rsidP="00053C76">
      <w:pPr>
        <w:rPr>
          <w:rFonts w:ascii="Arial" w:hAnsi="Arial" w:cs="Arial"/>
        </w:rPr>
      </w:pPr>
    </w:p>
    <w:p w14:paraId="59BDA3FB" w14:textId="089AC41F" w:rsidR="00053C76" w:rsidRPr="0087758B" w:rsidRDefault="00053C76" w:rsidP="00053C76">
      <w:pPr>
        <w:rPr>
          <w:rFonts w:ascii="Arial" w:hAnsi="Arial" w:cs="Arial"/>
          <w:b/>
          <w:bCs/>
        </w:rPr>
      </w:pPr>
      <w:r w:rsidRPr="0087758B">
        <w:rPr>
          <w:rFonts w:ascii="Arial" w:hAnsi="Arial" w:cs="Arial"/>
          <w:b/>
          <w:bCs/>
        </w:rPr>
        <w:t>RESEARCH FIELD</w:t>
      </w:r>
    </w:p>
    <w:p w14:paraId="5B48AE2C" w14:textId="1112786C" w:rsidR="00053C76" w:rsidRPr="00DC1189" w:rsidRDefault="00DA0C7D" w:rsidP="00053C76">
      <w:pPr>
        <w:pBdr>
          <w:top w:val="single" w:sz="4" w:space="1" w:color="auto"/>
          <w:left w:val="single" w:sz="4" w:space="4" w:color="auto"/>
          <w:bottom w:val="single" w:sz="4" w:space="1" w:color="auto"/>
          <w:right w:val="single" w:sz="4" w:space="4" w:color="auto"/>
        </w:pBdr>
        <w:rPr>
          <w:rFonts w:ascii="Arial" w:hAnsi="Arial" w:cs="Arial"/>
          <w:color w:val="000000" w:themeColor="text1"/>
        </w:rPr>
      </w:pPr>
      <w:r w:rsidRPr="00DC1189">
        <w:rPr>
          <w:rFonts w:ascii="Arial" w:hAnsi="Arial" w:cs="Arial"/>
          <w:color w:val="000000" w:themeColor="text1"/>
        </w:rPr>
        <w:t>Post-transcriptional gene regulation in</w:t>
      </w:r>
      <w:r w:rsidR="00B122AE" w:rsidRPr="00DC1189">
        <w:rPr>
          <w:rFonts w:ascii="Arial" w:hAnsi="Arial" w:cs="Arial"/>
          <w:color w:val="000000" w:themeColor="text1"/>
        </w:rPr>
        <w:t xml:space="preserve"> </w:t>
      </w:r>
      <w:r w:rsidR="00456BAF" w:rsidRPr="00DC1189">
        <w:rPr>
          <w:rFonts w:ascii="Arial" w:hAnsi="Arial" w:cs="Arial"/>
          <w:color w:val="000000" w:themeColor="text1"/>
        </w:rPr>
        <w:t>H</w:t>
      </w:r>
      <w:r w:rsidR="00B122AE" w:rsidRPr="00DC1189">
        <w:rPr>
          <w:rFonts w:ascii="Arial" w:hAnsi="Arial" w:cs="Arial"/>
          <w:color w:val="000000" w:themeColor="text1"/>
        </w:rPr>
        <w:t>igh-</w:t>
      </w:r>
      <w:r w:rsidR="00456BAF" w:rsidRPr="00DC1189">
        <w:rPr>
          <w:rFonts w:ascii="Arial" w:hAnsi="Arial" w:cs="Arial"/>
          <w:color w:val="000000" w:themeColor="text1"/>
        </w:rPr>
        <w:t>G</w:t>
      </w:r>
      <w:r w:rsidR="00B122AE" w:rsidRPr="00DC1189">
        <w:rPr>
          <w:rFonts w:ascii="Arial" w:hAnsi="Arial" w:cs="Arial"/>
          <w:color w:val="000000" w:themeColor="text1"/>
        </w:rPr>
        <w:t xml:space="preserve">rade </w:t>
      </w:r>
      <w:r w:rsidR="00456BAF" w:rsidRPr="00DC1189">
        <w:rPr>
          <w:rFonts w:ascii="Arial" w:hAnsi="Arial" w:cs="Arial"/>
          <w:color w:val="000000" w:themeColor="text1"/>
        </w:rPr>
        <w:t>S</w:t>
      </w:r>
      <w:r w:rsidR="00B122AE" w:rsidRPr="00DC1189">
        <w:rPr>
          <w:rFonts w:ascii="Arial" w:hAnsi="Arial" w:cs="Arial"/>
          <w:color w:val="000000" w:themeColor="text1"/>
        </w:rPr>
        <w:t xml:space="preserve">erous </w:t>
      </w:r>
      <w:r w:rsidR="00456BAF" w:rsidRPr="00DC1189">
        <w:rPr>
          <w:rFonts w:ascii="Arial" w:hAnsi="Arial" w:cs="Arial"/>
          <w:color w:val="000000" w:themeColor="text1"/>
        </w:rPr>
        <w:t>O</w:t>
      </w:r>
      <w:r w:rsidR="00B122AE" w:rsidRPr="00DC1189">
        <w:rPr>
          <w:rFonts w:ascii="Arial" w:hAnsi="Arial" w:cs="Arial"/>
          <w:color w:val="000000" w:themeColor="text1"/>
        </w:rPr>
        <w:t xml:space="preserve">varian </w:t>
      </w:r>
      <w:r w:rsidR="00456BAF" w:rsidRPr="00DC1189">
        <w:rPr>
          <w:rFonts w:ascii="Arial" w:hAnsi="Arial" w:cs="Arial"/>
          <w:color w:val="000000" w:themeColor="text1"/>
        </w:rPr>
        <w:t>C</w:t>
      </w:r>
      <w:r w:rsidR="00B122AE" w:rsidRPr="00DC1189">
        <w:rPr>
          <w:rFonts w:ascii="Arial" w:hAnsi="Arial" w:cs="Arial"/>
          <w:color w:val="000000" w:themeColor="text1"/>
        </w:rPr>
        <w:t>ancer</w:t>
      </w:r>
    </w:p>
    <w:p w14:paraId="0E4EAD99" w14:textId="77777777" w:rsidR="00053C76" w:rsidRPr="009F211E" w:rsidRDefault="00053C76" w:rsidP="00053C76">
      <w:pPr>
        <w:pBdr>
          <w:top w:val="single" w:sz="4" w:space="1" w:color="auto"/>
          <w:left w:val="single" w:sz="4" w:space="4" w:color="auto"/>
          <w:bottom w:val="single" w:sz="4" w:space="1" w:color="auto"/>
          <w:right w:val="single" w:sz="4" w:space="4" w:color="auto"/>
        </w:pBdr>
        <w:rPr>
          <w:rFonts w:ascii="Arial" w:hAnsi="Arial" w:cs="Arial"/>
        </w:rPr>
      </w:pPr>
    </w:p>
    <w:p w14:paraId="0A366C3B" w14:textId="77777777" w:rsidR="00F877D5" w:rsidRPr="009F211E" w:rsidRDefault="00F877D5" w:rsidP="00F877D5">
      <w:pPr>
        <w:rPr>
          <w:rFonts w:ascii="Arial" w:hAnsi="Arial" w:cs="Arial"/>
        </w:rPr>
      </w:pPr>
    </w:p>
    <w:p w14:paraId="31461A76" w14:textId="05348524" w:rsidR="00F877D5" w:rsidRPr="009F211E" w:rsidRDefault="00F877D5" w:rsidP="00F877D5">
      <w:pPr>
        <w:rPr>
          <w:rFonts w:ascii="Arial" w:hAnsi="Arial" w:cs="Arial"/>
        </w:rPr>
      </w:pPr>
      <w:r w:rsidRPr="0087758B">
        <w:rPr>
          <w:rFonts w:ascii="Arial" w:hAnsi="Arial" w:cs="Arial"/>
          <w:b/>
          <w:bCs/>
        </w:rPr>
        <w:t>KEYWORDS</w:t>
      </w:r>
      <w:r w:rsidRPr="009F211E">
        <w:rPr>
          <w:rFonts w:ascii="Arial" w:hAnsi="Arial" w:cs="Arial"/>
        </w:rPr>
        <w:t xml:space="preserve"> </w:t>
      </w:r>
    </w:p>
    <w:p w14:paraId="6971F0AA" w14:textId="0B6162D5" w:rsidR="00F877D5" w:rsidRPr="009F211E" w:rsidRDefault="00CF4F54" w:rsidP="00F877D5">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 xml:space="preserve">RNA-binding proteins; Ovarian cancer; Drug resistance; </w:t>
      </w:r>
      <w:r w:rsidR="007326DC">
        <w:rPr>
          <w:rFonts w:ascii="Arial" w:hAnsi="Arial" w:cs="Arial"/>
        </w:rPr>
        <w:t>Post-transcrip</w:t>
      </w:r>
      <w:r w:rsidR="00611F17">
        <w:rPr>
          <w:rFonts w:ascii="Arial" w:hAnsi="Arial" w:cs="Arial"/>
        </w:rPr>
        <w:t>t</w:t>
      </w:r>
      <w:r w:rsidR="007326DC">
        <w:rPr>
          <w:rFonts w:ascii="Arial" w:hAnsi="Arial" w:cs="Arial"/>
        </w:rPr>
        <w:t>ional gene regulation</w:t>
      </w:r>
    </w:p>
    <w:p w14:paraId="532A94C1" w14:textId="77777777" w:rsidR="00F877D5" w:rsidRPr="009F211E" w:rsidRDefault="00F877D5" w:rsidP="00F877D5">
      <w:pPr>
        <w:pBdr>
          <w:top w:val="single" w:sz="4" w:space="1" w:color="auto"/>
          <w:left w:val="single" w:sz="4" w:space="4" w:color="auto"/>
          <w:bottom w:val="single" w:sz="4" w:space="1" w:color="auto"/>
          <w:right w:val="single" w:sz="4" w:space="4" w:color="auto"/>
        </w:pBdr>
        <w:rPr>
          <w:rFonts w:ascii="Arial" w:hAnsi="Arial" w:cs="Arial"/>
        </w:rPr>
      </w:pPr>
    </w:p>
    <w:p w14:paraId="68F83D14" w14:textId="77777777" w:rsidR="00FD54BF" w:rsidRPr="009F211E" w:rsidRDefault="00FD54BF">
      <w:pPr>
        <w:rPr>
          <w:rFonts w:ascii="Arial" w:hAnsi="Arial" w:cs="Arial"/>
        </w:rPr>
      </w:pPr>
    </w:p>
    <w:p w14:paraId="3BBC079D" w14:textId="4AE45DDD" w:rsidR="00FD54BF" w:rsidRPr="009F211E" w:rsidRDefault="00FD54BF">
      <w:pPr>
        <w:rPr>
          <w:rFonts w:ascii="Arial" w:hAnsi="Arial" w:cs="Arial"/>
        </w:rPr>
      </w:pPr>
      <w:r w:rsidRPr="0087758B">
        <w:rPr>
          <w:rFonts w:ascii="Arial" w:hAnsi="Arial" w:cs="Arial"/>
          <w:b/>
          <w:bCs/>
        </w:rPr>
        <w:t>ABSTRACT</w:t>
      </w:r>
      <w:r w:rsidRPr="009F211E">
        <w:rPr>
          <w:rFonts w:ascii="Arial" w:hAnsi="Arial" w:cs="Arial"/>
        </w:rPr>
        <w:t xml:space="preserve"> </w:t>
      </w:r>
    </w:p>
    <w:p w14:paraId="310E2D52" w14:textId="541F7EDC" w:rsidR="00E947C9" w:rsidRDefault="005267C2" w:rsidP="005267C2">
      <w:pPr>
        <w:pBdr>
          <w:top w:val="single" w:sz="4" w:space="1" w:color="auto"/>
          <w:left w:val="single" w:sz="4" w:space="4" w:color="auto"/>
          <w:bottom w:val="single" w:sz="4" w:space="1" w:color="auto"/>
          <w:right w:val="single" w:sz="4" w:space="4" w:color="auto"/>
        </w:pBdr>
        <w:jc w:val="both"/>
        <w:rPr>
          <w:rFonts w:ascii="Arial" w:hAnsi="Arial" w:cs="Arial"/>
        </w:rPr>
      </w:pPr>
      <w:r w:rsidRPr="005267C2">
        <w:rPr>
          <w:rFonts w:ascii="Arial" w:hAnsi="Arial" w:cs="Arial"/>
        </w:rPr>
        <w:t xml:space="preserve">Genomic and transcriptomic technologies have been extensively utilized in studying </w:t>
      </w:r>
      <w:r w:rsidR="001E632A">
        <w:rPr>
          <w:rFonts w:ascii="Arial" w:hAnsi="Arial" w:cs="Arial"/>
        </w:rPr>
        <w:t>ovarian cancers</w:t>
      </w:r>
      <w:r w:rsidRPr="005267C2">
        <w:rPr>
          <w:rFonts w:ascii="Arial" w:hAnsi="Arial" w:cs="Arial"/>
        </w:rPr>
        <w:t xml:space="preserve">, revealing genomic features among histotypes, prognosis-related molecular subtypes within </w:t>
      </w:r>
      <w:r w:rsidR="001E632A">
        <w:rPr>
          <w:rFonts w:ascii="Arial" w:hAnsi="Arial" w:cs="Arial"/>
        </w:rPr>
        <w:t>high-grade serous ovarian cancer</w:t>
      </w:r>
      <w:r w:rsidR="00E31AA4">
        <w:rPr>
          <w:rFonts w:ascii="Arial" w:hAnsi="Arial" w:cs="Arial"/>
        </w:rPr>
        <w:t xml:space="preserve"> (HGSOC)</w:t>
      </w:r>
      <w:r w:rsidRPr="005267C2">
        <w:rPr>
          <w:rFonts w:ascii="Arial" w:hAnsi="Arial" w:cs="Arial"/>
        </w:rPr>
        <w:t xml:space="preserve"> and chemoresistance-associated molecular events. Despite these advancements, the clinical application of these genomic insights remains limited. Several lines of evidence indicate a prominent role for post-transcriptional gene regulation (PTGR) in tumor progression. PTGR is frequently de-regulated in human cancer and is recently emerging as a targetable vulnerability. Accordingly, mutation and/or aberrant expression of multiple regulators of post-transcriptional events – named RNA-binding proteins (RBPs) – contribute to almost every hallmark of cancer. As direct executors of PTGR, RBPs play a pivotal role in comprehensive representations of molecular mechanisms underlying pathological changes.</w:t>
      </w:r>
    </w:p>
    <w:p w14:paraId="081A2D54" w14:textId="0E684B2C" w:rsidR="002B25DE" w:rsidRDefault="005267C2" w:rsidP="005267C2">
      <w:pPr>
        <w:pBdr>
          <w:top w:val="single" w:sz="4" w:space="1" w:color="auto"/>
          <w:left w:val="single" w:sz="4" w:space="4" w:color="auto"/>
          <w:bottom w:val="single" w:sz="4" w:space="1" w:color="auto"/>
          <w:right w:val="single" w:sz="4" w:space="4" w:color="auto"/>
        </w:pBdr>
        <w:jc w:val="both"/>
        <w:rPr>
          <w:rFonts w:ascii="Arial" w:hAnsi="Arial" w:cs="Arial"/>
        </w:rPr>
      </w:pPr>
      <w:r w:rsidRPr="005267C2">
        <w:rPr>
          <w:rFonts w:ascii="Arial" w:hAnsi="Arial" w:cs="Arial"/>
        </w:rPr>
        <w:t xml:space="preserve">Recently, we applied a proteomic system-wide approach to identify the RNA-interactome in platinum-sensitive and resistant HGSOC cells, which revealed that there is a significant remodeling of RBP expression and/or activity during the establishment of chemoresistance. </w:t>
      </w:r>
      <w:r w:rsidR="00E31AA4">
        <w:rPr>
          <w:rFonts w:ascii="Arial" w:hAnsi="Arial" w:cs="Arial"/>
        </w:rPr>
        <w:t>Our</w:t>
      </w:r>
      <w:r w:rsidR="002B25DE" w:rsidRPr="000B7B47">
        <w:rPr>
          <w:rFonts w:ascii="Arial" w:hAnsi="Arial" w:cs="Arial"/>
        </w:rPr>
        <w:t xml:space="preserve"> aim to understand how </w:t>
      </w:r>
      <w:r w:rsidR="00E31AA4">
        <w:rPr>
          <w:rFonts w:ascii="Arial" w:hAnsi="Arial" w:cs="Arial"/>
        </w:rPr>
        <w:t>RBPs</w:t>
      </w:r>
      <w:r w:rsidR="002B25DE" w:rsidRPr="000B7B47">
        <w:rPr>
          <w:rFonts w:ascii="Arial" w:hAnsi="Arial" w:cs="Arial"/>
        </w:rPr>
        <w:t xml:space="preserve"> function, dissect their regulatory networks, and use this knowledge to identify robust </w:t>
      </w:r>
      <w:r w:rsidR="002B25DE">
        <w:rPr>
          <w:rFonts w:ascii="Arial" w:hAnsi="Arial" w:cs="Arial"/>
        </w:rPr>
        <w:t>prognostic factors</w:t>
      </w:r>
      <w:r w:rsidR="002B25DE" w:rsidRPr="000B7B47">
        <w:rPr>
          <w:rFonts w:ascii="Arial" w:hAnsi="Arial" w:cs="Arial"/>
        </w:rPr>
        <w:t xml:space="preserve"> and therapeutic targets.</w:t>
      </w:r>
    </w:p>
    <w:p w14:paraId="7ED61725" w14:textId="0FD881AC" w:rsidR="00F877D5" w:rsidRPr="009F211E" w:rsidRDefault="007B257E" w:rsidP="003C6DEC">
      <w:pPr>
        <w:pBdr>
          <w:top w:val="single" w:sz="4" w:space="1" w:color="auto"/>
          <w:left w:val="single" w:sz="4" w:space="4" w:color="auto"/>
          <w:bottom w:val="single" w:sz="4" w:space="1" w:color="auto"/>
          <w:right w:val="single" w:sz="4" w:space="4" w:color="auto"/>
        </w:pBdr>
        <w:jc w:val="both"/>
        <w:rPr>
          <w:rFonts w:ascii="Arial" w:hAnsi="Arial" w:cs="Arial"/>
        </w:rPr>
      </w:pPr>
      <w:r w:rsidRPr="000B7B47">
        <w:rPr>
          <w:rFonts w:ascii="Arial" w:hAnsi="Arial" w:cs="Arial"/>
        </w:rPr>
        <w:t xml:space="preserve">We </w:t>
      </w:r>
      <w:r w:rsidR="00AA5159">
        <w:rPr>
          <w:rFonts w:ascii="Arial" w:hAnsi="Arial" w:cs="Arial"/>
        </w:rPr>
        <w:t xml:space="preserve">are interested in both </w:t>
      </w:r>
      <w:r w:rsidRPr="000B7B47">
        <w:rPr>
          <w:rFonts w:ascii="Arial" w:hAnsi="Arial" w:cs="Arial"/>
        </w:rPr>
        <w:t xml:space="preserve">canonical and non-canonical RBPs </w:t>
      </w:r>
      <w:r w:rsidR="00AA5159">
        <w:rPr>
          <w:rFonts w:ascii="Arial" w:hAnsi="Arial" w:cs="Arial"/>
        </w:rPr>
        <w:t>– considered as RBPs</w:t>
      </w:r>
      <w:r w:rsidRPr="000B7B47">
        <w:rPr>
          <w:rFonts w:ascii="Arial" w:hAnsi="Arial" w:cs="Arial"/>
        </w:rPr>
        <w:t xml:space="preserve"> </w:t>
      </w:r>
      <w:r w:rsidR="00AA5159">
        <w:rPr>
          <w:rFonts w:ascii="Arial" w:hAnsi="Arial" w:cs="Arial"/>
        </w:rPr>
        <w:t>lacking known</w:t>
      </w:r>
      <w:r w:rsidRPr="000B7B47">
        <w:rPr>
          <w:rFonts w:ascii="Arial" w:hAnsi="Arial" w:cs="Arial"/>
        </w:rPr>
        <w:t xml:space="preserve"> RNA binding domains</w:t>
      </w:r>
      <w:r w:rsidR="00AA5159">
        <w:rPr>
          <w:rFonts w:ascii="Arial" w:hAnsi="Arial" w:cs="Arial"/>
        </w:rPr>
        <w:t xml:space="preserve"> - </w:t>
      </w:r>
      <w:r w:rsidRPr="000B7B47">
        <w:rPr>
          <w:rFonts w:ascii="Arial" w:hAnsi="Arial" w:cs="Arial"/>
        </w:rPr>
        <w:t xml:space="preserve">that are directly or indirectly involved in </w:t>
      </w:r>
      <w:r w:rsidR="00B31325">
        <w:rPr>
          <w:rFonts w:ascii="Arial" w:hAnsi="Arial" w:cs="Arial"/>
        </w:rPr>
        <w:t>every aspect of mRNA life cycle</w:t>
      </w:r>
      <w:r w:rsidRPr="000B7B47">
        <w:rPr>
          <w:rFonts w:ascii="Arial" w:hAnsi="Arial" w:cs="Arial"/>
        </w:rPr>
        <w:t xml:space="preserve">. </w:t>
      </w:r>
      <w:r w:rsidR="00B31325">
        <w:rPr>
          <w:rFonts w:ascii="Arial" w:hAnsi="Arial" w:cs="Arial"/>
        </w:rPr>
        <w:t xml:space="preserve">Our expertise include different </w:t>
      </w:r>
      <w:r w:rsidRPr="000B7B47">
        <w:rPr>
          <w:rFonts w:ascii="Arial" w:hAnsi="Arial" w:cs="Arial"/>
        </w:rPr>
        <w:t>high-throughput technologies</w:t>
      </w:r>
      <w:r w:rsidR="00794B94">
        <w:rPr>
          <w:rFonts w:ascii="Arial" w:hAnsi="Arial" w:cs="Arial"/>
        </w:rPr>
        <w:t xml:space="preserve"> for the study of RBP-RNA interactions as well as PTGR mechanisms</w:t>
      </w:r>
      <w:r w:rsidRPr="000B7B47">
        <w:rPr>
          <w:rFonts w:ascii="Arial" w:hAnsi="Arial" w:cs="Arial"/>
        </w:rPr>
        <w:t xml:space="preserve"> (</w:t>
      </w:r>
      <w:r w:rsidR="00E45064">
        <w:rPr>
          <w:rFonts w:ascii="Arial" w:hAnsi="Arial" w:cs="Arial"/>
        </w:rPr>
        <w:t xml:space="preserve">PNK assay, </w:t>
      </w:r>
      <w:r w:rsidRPr="000B7B47">
        <w:rPr>
          <w:rFonts w:ascii="Arial" w:hAnsi="Arial" w:cs="Arial"/>
        </w:rPr>
        <w:t>RNA interactome capture,</w:t>
      </w:r>
      <w:r w:rsidR="009E1984">
        <w:rPr>
          <w:rFonts w:ascii="Arial" w:hAnsi="Arial" w:cs="Arial"/>
        </w:rPr>
        <w:t xml:space="preserve"> Orthogonal Organic Phase Separation,</w:t>
      </w:r>
      <w:r w:rsidRPr="000B7B47">
        <w:rPr>
          <w:rFonts w:ascii="Arial" w:hAnsi="Arial" w:cs="Arial"/>
        </w:rPr>
        <w:t xml:space="preserve"> RNA-seq, </w:t>
      </w:r>
      <w:r w:rsidR="009E1984">
        <w:rPr>
          <w:rFonts w:ascii="Arial" w:hAnsi="Arial" w:cs="Arial"/>
        </w:rPr>
        <w:t xml:space="preserve">RIP-seq, </w:t>
      </w:r>
      <w:r w:rsidRPr="000B7B47">
        <w:rPr>
          <w:rFonts w:ascii="Arial" w:hAnsi="Arial" w:cs="Arial"/>
        </w:rPr>
        <w:t>iCLIP</w:t>
      </w:r>
      <w:r w:rsidR="009E1984">
        <w:rPr>
          <w:rFonts w:ascii="Arial" w:hAnsi="Arial" w:cs="Arial"/>
        </w:rPr>
        <w:t>-seq</w:t>
      </w:r>
      <w:r w:rsidRPr="000B7B47">
        <w:rPr>
          <w:rFonts w:ascii="Arial" w:hAnsi="Arial" w:cs="Arial"/>
        </w:rPr>
        <w:t xml:space="preserve">, Ribo-Seq, </w:t>
      </w:r>
      <w:r w:rsidR="009E1984">
        <w:rPr>
          <w:rFonts w:ascii="Arial" w:hAnsi="Arial" w:cs="Arial"/>
        </w:rPr>
        <w:t>P</w:t>
      </w:r>
      <w:r w:rsidRPr="000B7B47">
        <w:rPr>
          <w:rFonts w:ascii="Arial" w:hAnsi="Arial" w:cs="Arial"/>
        </w:rPr>
        <w:t xml:space="preserve">olysome-Seq, </w:t>
      </w:r>
      <w:r w:rsidR="009E1984">
        <w:rPr>
          <w:rFonts w:ascii="Arial" w:hAnsi="Arial" w:cs="Arial"/>
        </w:rPr>
        <w:t>P</w:t>
      </w:r>
      <w:r w:rsidRPr="000B7B47">
        <w:rPr>
          <w:rFonts w:ascii="Arial" w:hAnsi="Arial" w:cs="Arial"/>
        </w:rPr>
        <w:t>roteomics)</w:t>
      </w:r>
      <w:r w:rsidR="00A2665E">
        <w:rPr>
          <w:rFonts w:ascii="Arial" w:hAnsi="Arial" w:cs="Arial"/>
        </w:rPr>
        <w:t>.</w:t>
      </w:r>
    </w:p>
    <w:p w14:paraId="65D046DC" w14:textId="77777777" w:rsidR="00FD54BF" w:rsidRPr="009F211E" w:rsidRDefault="00FD54BF">
      <w:pPr>
        <w:rPr>
          <w:rFonts w:ascii="Arial" w:hAnsi="Arial" w:cs="Arial"/>
        </w:rPr>
      </w:pPr>
    </w:p>
    <w:p w14:paraId="2F42934F" w14:textId="66842A2D" w:rsidR="00FD54BF" w:rsidRPr="009F211E" w:rsidRDefault="009F211E">
      <w:pPr>
        <w:rPr>
          <w:rFonts w:ascii="Arial" w:hAnsi="Arial" w:cs="Arial"/>
        </w:rPr>
      </w:pPr>
      <w:r w:rsidRPr="0087758B">
        <w:rPr>
          <w:rFonts w:ascii="Arial" w:hAnsi="Arial" w:cs="Arial"/>
          <w:b/>
          <w:bCs/>
        </w:rPr>
        <w:t>PUBLICATIONS</w:t>
      </w:r>
      <w:r w:rsidR="00FD54BF" w:rsidRPr="009F211E">
        <w:rPr>
          <w:rFonts w:ascii="Arial" w:hAnsi="Arial" w:cs="Arial"/>
        </w:rPr>
        <w:t xml:space="preserve"> (</w:t>
      </w:r>
      <w:r w:rsidR="00B122AE">
        <w:rPr>
          <w:rFonts w:ascii="Arial" w:hAnsi="Arial" w:cs="Arial"/>
        </w:rPr>
        <w:t>only</w:t>
      </w:r>
      <w:r w:rsidR="00FD54BF" w:rsidRPr="009F211E">
        <w:rPr>
          <w:rFonts w:ascii="Arial" w:hAnsi="Arial" w:cs="Arial"/>
        </w:rPr>
        <w:t xml:space="preserve"> 5 </w:t>
      </w:r>
      <w:r w:rsidR="00B122AE">
        <w:rPr>
          <w:rFonts w:ascii="Arial" w:hAnsi="Arial" w:cs="Arial"/>
        </w:rPr>
        <w:t xml:space="preserve">in the </w:t>
      </w:r>
      <w:r w:rsidRPr="009F211E">
        <w:rPr>
          <w:rFonts w:ascii="Arial" w:hAnsi="Arial" w:cs="Arial"/>
        </w:rPr>
        <w:t>last 5 years</w:t>
      </w:r>
      <w:r w:rsidR="00FD54BF" w:rsidRPr="009F211E">
        <w:rPr>
          <w:rFonts w:ascii="Arial" w:hAnsi="Arial" w:cs="Arial"/>
        </w:rPr>
        <w:t>)</w:t>
      </w:r>
      <w:r w:rsidR="005E3DA9">
        <w:rPr>
          <w:rFonts w:ascii="Arial" w:hAnsi="Arial" w:cs="Arial"/>
        </w:rPr>
        <w:t xml:space="preserve"> </w:t>
      </w:r>
    </w:p>
    <w:p w14:paraId="62F92CE3" w14:textId="42E6ACC1" w:rsidR="00CD3A4C" w:rsidRPr="00EF2654" w:rsidRDefault="00EF2654" w:rsidP="00F87C58">
      <w:pPr>
        <w:pBdr>
          <w:top w:val="single" w:sz="4" w:space="1" w:color="auto"/>
          <w:left w:val="single" w:sz="4" w:space="4" w:color="auto"/>
          <w:bottom w:val="single" w:sz="4" w:space="1" w:color="auto"/>
          <w:right w:val="single" w:sz="4" w:space="4" w:color="auto"/>
        </w:pBdr>
        <w:jc w:val="both"/>
        <w:rPr>
          <w:rFonts w:ascii="Arial" w:hAnsi="Arial" w:cs="Arial"/>
          <w:color w:val="212121"/>
          <w:shd w:val="clear" w:color="auto" w:fill="FFFFFF"/>
        </w:rPr>
      </w:pPr>
      <w:r w:rsidRPr="00EF2654">
        <w:rPr>
          <w:rFonts w:ascii="Arial" w:hAnsi="Arial" w:cs="Arial"/>
          <w:color w:val="212121"/>
          <w:shd w:val="clear" w:color="auto" w:fill="FFFFFF"/>
        </w:rPr>
        <w:t>De Lella S, Pedalino L, Abaker MAA, Mignogna C, Cautiero R, Esposito F, Matassa DS, Avolio R. The molecular chaperone TRAP1 promotes translation of Luc7I3 mRNA to enhance ovarian cancer cell proliferation. RNA. 2025 Oct 16;31(11):1667-1683.</w:t>
      </w:r>
    </w:p>
    <w:p w14:paraId="6D9F7EA3" w14:textId="77777777" w:rsidR="00EF2654" w:rsidRDefault="00EF2654" w:rsidP="00F87C58">
      <w:pPr>
        <w:pBdr>
          <w:top w:val="single" w:sz="4" w:space="1" w:color="auto"/>
          <w:left w:val="single" w:sz="4" w:space="4" w:color="auto"/>
          <w:bottom w:val="single" w:sz="4" w:space="1" w:color="auto"/>
          <w:right w:val="single" w:sz="4" w:space="4" w:color="auto"/>
        </w:pBdr>
        <w:jc w:val="both"/>
        <w:rPr>
          <w:rFonts w:ascii="Arial" w:hAnsi="Arial" w:cs="Arial"/>
        </w:rPr>
      </w:pPr>
    </w:p>
    <w:p w14:paraId="20735D55" w14:textId="659D6A05" w:rsidR="00FD54BF" w:rsidRPr="009F211E" w:rsidRDefault="00F87C58" w:rsidP="00F87C58">
      <w:pPr>
        <w:pBdr>
          <w:top w:val="single" w:sz="4" w:space="1" w:color="auto"/>
          <w:left w:val="single" w:sz="4" w:space="4" w:color="auto"/>
          <w:bottom w:val="single" w:sz="4" w:space="1" w:color="auto"/>
          <w:right w:val="single" w:sz="4" w:space="4" w:color="auto"/>
        </w:pBdr>
        <w:jc w:val="both"/>
        <w:rPr>
          <w:rFonts w:ascii="Arial" w:hAnsi="Arial" w:cs="Arial"/>
        </w:rPr>
      </w:pPr>
      <w:r w:rsidRPr="00F87C58">
        <w:rPr>
          <w:rFonts w:ascii="Arial" w:hAnsi="Arial" w:cs="Arial"/>
        </w:rPr>
        <w:t>Senatore E, Avolio R, Rinaldi L, Chiuso F, Oliva MA, D'Ambrosio C, Bianco AG, Dalla E, Pagnotta SM, Flammia R, Ambrosino C, Memoli D, Turacchio G, Mimoune SI, Toiron Y, Audebert S, Camoin L, Lignitto L, Scaloni A, Arcella A, Feliciello A. Praja2 controls P-body assembly and translation in glioblastoma by non-proteolytic ubiquitylation of DDX6. EMBO Rep. 2025 May;26(9):2347-2377.</w:t>
      </w:r>
    </w:p>
    <w:p w14:paraId="09B54786" w14:textId="77777777" w:rsidR="00FD54BF" w:rsidRPr="009F211E" w:rsidRDefault="00FD54BF" w:rsidP="00FD54BF">
      <w:pPr>
        <w:pBdr>
          <w:top w:val="single" w:sz="4" w:space="1" w:color="auto"/>
          <w:left w:val="single" w:sz="4" w:space="4" w:color="auto"/>
          <w:bottom w:val="single" w:sz="4" w:space="1" w:color="auto"/>
          <w:right w:val="single" w:sz="4" w:space="4" w:color="auto"/>
        </w:pBdr>
        <w:rPr>
          <w:rFonts w:ascii="Arial" w:hAnsi="Arial" w:cs="Arial"/>
        </w:rPr>
      </w:pPr>
    </w:p>
    <w:p w14:paraId="43510159" w14:textId="193428A5" w:rsidR="00FD54BF" w:rsidRDefault="004B576B" w:rsidP="004B576B">
      <w:pPr>
        <w:pBdr>
          <w:top w:val="single" w:sz="4" w:space="1" w:color="auto"/>
          <w:left w:val="single" w:sz="4" w:space="4" w:color="auto"/>
          <w:bottom w:val="single" w:sz="4" w:space="1" w:color="auto"/>
          <w:right w:val="single" w:sz="4" w:space="4" w:color="auto"/>
        </w:pBdr>
        <w:jc w:val="both"/>
        <w:rPr>
          <w:rFonts w:ascii="Arial" w:hAnsi="Arial" w:cs="Arial"/>
        </w:rPr>
      </w:pPr>
      <w:r w:rsidRPr="004B576B">
        <w:rPr>
          <w:rFonts w:ascii="Arial" w:hAnsi="Arial" w:cs="Arial"/>
        </w:rPr>
        <w:lastRenderedPageBreak/>
        <w:t>Avolio R, Agliarulo I, Criscuolo D, Sarnataro D, Auriemma M, De Lella S, Pennacchio S, Calice G, Ng MY, Giorgi C, Pinton P, Cooperman BS, Landriscina M, Esposito F, Matassa DS. Cytosolic and mitochondrial translation elongation are coordinated through the molecular chaperone TRAP1 for the synthesis and import of mitochondrial proteins. Genome Res. 2023 Aug;33(8):1242-1257.</w:t>
      </w:r>
    </w:p>
    <w:p w14:paraId="3D194DA6" w14:textId="77777777" w:rsidR="00FD54BF" w:rsidRPr="009F211E" w:rsidRDefault="00FD54BF" w:rsidP="00410E41">
      <w:pPr>
        <w:pBdr>
          <w:top w:val="single" w:sz="4" w:space="1" w:color="auto"/>
          <w:left w:val="single" w:sz="4" w:space="4" w:color="auto"/>
          <w:bottom w:val="single" w:sz="4" w:space="1" w:color="auto"/>
          <w:right w:val="single" w:sz="4" w:space="4" w:color="auto"/>
        </w:pBdr>
        <w:jc w:val="both"/>
        <w:rPr>
          <w:rFonts w:ascii="Arial" w:hAnsi="Arial" w:cs="Arial"/>
        </w:rPr>
      </w:pPr>
    </w:p>
    <w:p w14:paraId="2BC8BC3A" w14:textId="4A659A9B" w:rsidR="00FD54BF" w:rsidRPr="00A71686" w:rsidRDefault="00A71686" w:rsidP="00A71686">
      <w:pPr>
        <w:pBdr>
          <w:top w:val="single" w:sz="4" w:space="1" w:color="auto"/>
          <w:left w:val="single" w:sz="4" w:space="4" w:color="auto"/>
          <w:bottom w:val="single" w:sz="4" w:space="1" w:color="auto"/>
          <w:right w:val="single" w:sz="4" w:space="4" w:color="auto"/>
        </w:pBdr>
        <w:jc w:val="both"/>
        <w:rPr>
          <w:rFonts w:ascii="Arial" w:hAnsi="Arial" w:cs="Arial"/>
        </w:rPr>
      </w:pPr>
      <w:r w:rsidRPr="00A71686">
        <w:rPr>
          <w:rFonts w:ascii="Arial" w:hAnsi="Arial" w:cs="Arial"/>
          <w:color w:val="212121"/>
          <w:shd w:val="clear" w:color="auto" w:fill="FFFFFF"/>
        </w:rPr>
        <w:t>Criscuolo D, Avolio R, Parri M, Romano S, Chiarugi P, Matassa DS, Esposito F. Decreased Levels of GSH Are Associated with Platinum Resistance in High-Grade Serous Ovarian Cancer. Antioxidants (Basel). 2022 Aug 10;11(8):1544.</w:t>
      </w:r>
    </w:p>
    <w:p w14:paraId="78A7BFB0" w14:textId="77777777" w:rsidR="00FD54BF" w:rsidRPr="009F211E" w:rsidRDefault="00FD54BF" w:rsidP="00FD54BF">
      <w:pPr>
        <w:pBdr>
          <w:top w:val="single" w:sz="4" w:space="1" w:color="auto"/>
          <w:left w:val="single" w:sz="4" w:space="4" w:color="auto"/>
          <w:bottom w:val="single" w:sz="4" w:space="1" w:color="auto"/>
          <w:right w:val="single" w:sz="4" w:space="4" w:color="auto"/>
        </w:pBdr>
        <w:rPr>
          <w:rFonts w:ascii="Arial" w:hAnsi="Arial" w:cs="Arial"/>
        </w:rPr>
      </w:pPr>
    </w:p>
    <w:p w14:paraId="6588EB8D" w14:textId="60D7B7FA" w:rsidR="00FD54BF" w:rsidRPr="009F211E" w:rsidRDefault="0005714A" w:rsidP="0005714A">
      <w:pPr>
        <w:pBdr>
          <w:top w:val="single" w:sz="4" w:space="1" w:color="auto"/>
          <w:left w:val="single" w:sz="4" w:space="4" w:color="auto"/>
          <w:bottom w:val="single" w:sz="4" w:space="1" w:color="auto"/>
          <w:right w:val="single" w:sz="4" w:space="4" w:color="auto"/>
        </w:pBdr>
        <w:jc w:val="both"/>
        <w:rPr>
          <w:rFonts w:ascii="Arial" w:hAnsi="Arial" w:cs="Arial"/>
        </w:rPr>
      </w:pPr>
      <w:r w:rsidRPr="0005714A">
        <w:rPr>
          <w:rFonts w:ascii="Arial" w:hAnsi="Arial" w:cs="Arial"/>
        </w:rPr>
        <w:t>Avolio R, Inglés-Ferrándiz M, Ciocia A, Coll O, Bonnin S, Guitart T, Ribó A, Gebauer F. Coordinated post-transcriptional control of oncogene-induced senescence by UNR/CSDE1. Cell Rep. 2022 Jan 11;38(2):110211.</w:t>
      </w:r>
    </w:p>
    <w:p w14:paraId="25977EC1" w14:textId="77777777" w:rsidR="00FD54BF" w:rsidRPr="009F211E" w:rsidRDefault="00FD54BF" w:rsidP="00FD54BF">
      <w:pPr>
        <w:pBdr>
          <w:top w:val="single" w:sz="4" w:space="1" w:color="auto"/>
          <w:left w:val="single" w:sz="4" w:space="4" w:color="auto"/>
          <w:bottom w:val="single" w:sz="4" w:space="1" w:color="auto"/>
          <w:right w:val="single" w:sz="4" w:space="4" w:color="auto"/>
        </w:pBdr>
        <w:rPr>
          <w:rFonts w:ascii="Arial" w:hAnsi="Arial" w:cs="Arial"/>
        </w:rPr>
      </w:pPr>
    </w:p>
    <w:p w14:paraId="6730BE66" w14:textId="77777777" w:rsidR="00FD54BF" w:rsidRPr="009F211E" w:rsidRDefault="00FD54BF">
      <w:pPr>
        <w:rPr>
          <w:rFonts w:ascii="Arial" w:hAnsi="Arial" w:cs="Arial"/>
        </w:rPr>
      </w:pPr>
    </w:p>
    <w:p w14:paraId="123A8834" w14:textId="7752DD55" w:rsidR="00FD54BF" w:rsidRPr="009F211E" w:rsidRDefault="009F211E">
      <w:pPr>
        <w:rPr>
          <w:rFonts w:ascii="Arial" w:hAnsi="Arial" w:cs="Arial"/>
        </w:rPr>
      </w:pPr>
      <w:r w:rsidRPr="0087758B">
        <w:rPr>
          <w:rFonts w:ascii="Arial" w:hAnsi="Arial" w:cs="Arial"/>
          <w:b/>
          <w:bCs/>
        </w:rPr>
        <w:t>FUNDING</w:t>
      </w:r>
      <w:r w:rsidRPr="009F211E">
        <w:rPr>
          <w:rFonts w:ascii="Arial" w:hAnsi="Arial" w:cs="Arial"/>
        </w:rPr>
        <w:t xml:space="preserve"> </w:t>
      </w:r>
    </w:p>
    <w:p w14:paraId="3FE6685D" w14:textId="6DF97E77" w:rsidR="00FD54BF" w:rsidRPr="00222960" w:rsidRDefault="001C2AD0" w:rsidP="00A509B3">
      <w:p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rPr>
        <w:t>M</w:t>
      </w:r>
      <w:r w:rsidR="006E11DE">
        <w:rPr>
          <w:rFonts w:ascii="Arial" w:hAnsi="Arial" w:cs="Arial"/>
        </w:rPr>
        <w:t xml:space="preserve">y </w:t>
      </w:r>
      <w:r>
        <w:rPr>
          <w:rFonts w:ascii="Arial" w:hAnsi="Arial" w:cs="Arial"/>
        </w:rPr>
        <w:t>F</w:t>
      </w:r>
      <w:r w:rsidR="006E11DE">
        <w:rPr>
          <w:rFonts w:ascii="Arial" w:hAnsi="Arial" w:cs="Arial"/>
        </w:rPr>
        <w:t xml:space="preserve">irst </w:t>
      </w:r>
      <w:r>
        <w:rPr>
          <w:rFonts w:ascii="Arial" w:hAnsi="Arial" w:cs="Arial"/>
        </w:rPr>
        <w:t>A</w:t>
      </w:r>
      <w:r w:rsidR="006E11DE">
        <w:rPr>
          <w:rFonts w:ascii="Arial" w:hAnsi="Arial" w:cs="Arial"/>
        </w:rPr>
        <w:t xml:space="preserve">IRC </w:t>
      </w:r>
      <w:r>
        <w:rPr>
          <w:rFonts w:ascii="Arial" w:hAnsi="Arial" w:cs="Arial"/>
        </w:rPr>
        <w:t>G</w:t>
      </w:r>
      <w:r w:rsidR="006E11DE">
        <w:rPr>
          <w:rFonts w:ascii="Arial" w:hAnsi="Arial" w:cs="Arial"/>
        </w:rPr>
        <w:t xml:space="preserve">rant (MFAG) 30954 </w:t>
      </w:r>
      <w:r w:rsidR="00AC437C">
        <w:rPr>
          <w:rFonts w:ascii="Arial" w:hAnsi="Arial" w:cs="Arial"/>
        </w:rPr>
        <w:t xml:space="preserve">- </w:t>
      </w:r>
      <w:r w:rsidR="00222960" w:rsidRPr="00222960">
        <w:rPr>
          <w:rFonts w:ascii="Arial" w:hAnsi="Arial" w:cs="Arial"/>
          <w:i/>
          <w:iCs/>
        </w:rPr>
        <w:t>Uncovering new vulnerabilities of ovarian cancer pharmaco-resistance via unbiased identification of RNA-binding proteins</w:t>
      </w:r>
      <w:r w:rsidR="00222960">
        <w:rPr>
          <w:rFonts w:ascii="Arial" w:hAnsi="Arial" w:cs="Arial"/>
        </w:rPr>
        <w:t xml:space="preserve"> </w:t>
      </w:r>
      <w:r w:rsidR="004B2164">
        <w:rPr>
          <w:rFonts w:ascii="Arial" w:hAnsi="Arial" w:cs="Arial"/>
        </w:rPr>
        <w:t>–</w:t>
      </w:r>
      <w:r w:rsidR="00222960">
        <w:rPr>
          <w:rFonts w:ascii="Arial" w:hAnsi="Arial" w:cs="Arial"/>
        </w:rPr>
        <w:t xml:space="preserve"> </w:t>
      </w:r>
      <w:r w:rsidR="00E948EA">
        <w:rPr>
          <w:rFonts w:ascii="Arial" w:hAnsi="Arial" w:cs="Arial"/>
        </w:rPr>
        <w:t xml:space="preserve">From </w:t>
      </w:r>
      <w:r w:rsidR="004B2164">
        <w:rPr>
          <w:rFonts w:ascii="Arial" w:hAnsi="Arial" w:cs="Arial"/>
        </w:rPr>
        <w:t>02/01/</w:t>
      </w:r>
      <w:r w:rsidR="00E948EA">
        <w:rPr>
          <w:rFonts w:ascii="Arial" w:hAnsi="Arial" w:cs="Arial"/>
        </w:rPr>
        <w:t>20</w:t>
      </w:r>
      <w:r w:rsidR="004B2164">
        <w:rPr>
          <w:rFonts w:ascii="Arial" w:hAnsi="Arial" w:cs="Arial"/>
        </w:rPr>
        <w:t>25</w:t>
      </w:r>
      <w:r w:rsidR="00E948EA">
        <w:rPr>
          <w:rFonts w:ascii="Arial" w:hAnsi="Arial" w:cs="Arial"/>
        </w:rPr>
        <w:t xml:space="preserve"> to 01/01/2030</w:t>
      </w:r>
    </w:p>
    <w:p w14:paraId="053E7EBF" w14:textId="77777777" w:rsidR="00FD54BF" w:rsidRPr="009F211E" w:rsidRDefault="00FD54BF" w:rsidP="00A509B3">
      <w:pPr>
        <w:pBdr>
          <w:top w:val="single" w:sz="4" w:space="1" w:color="auto"/>
          <w:left w:val="single" w:sz="4" w:space="4" w:color="auto"/>
          <w:bottom w:val="single" w:sz="4" w:space="1" w:color="auto"/>
          <w:right w:val="single" w:sz="4" w:space="4" w:color="auto"/>
        </w:pBdr>
        <w:jc w:val="both"/>
        <w:rPr>
          <w:rFonts w:ascii="Arial" w:hAnsi="Arial" w:cs="Arial"/>
        </w:rPr>
      </w:pPr>
    </w:p>
    <w:p w14:paraId="0576C9B6" w14:textId="24800333" w:rsidR="005310A5" w:rsidRPr="00B13527" w:rsidRDefault="00B13527" w:rsidP="00A509B3">
      <w:p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rPr>
        <w:t xml:space="preserve">Ministry of University </w:t>
      </w:r>
      <w:r w:rsidR="00A509B3">
        <w:rPr>
          <w:rFonts w:ascii="Arial" w:hAnsi="Arial" w:cs="Arial"/>
        </w:rPr>
        <w:t xml:space="preserve">and Research </w:t>
      </w:r>
      <w:r>
        <w:rPr>
          <w:rFonts w:ascii="Arial" w:hAnsi="Arial" w:cs="Arial"/>
        </w:rPr>
        <w:t xml:space="preserve">(MUR) </w:t>
      </w:r>
      <w:r w:rsidR="00F90D59" w:rsidRPr="00F90D59">
        <w:rPr>
          <w:rFonts w:ascii="Arial" w:hAnsi="Arial" w:cs="Arial"/>
        </w:rPr>
        <w:t xml:space="preserve">CUP E63C22000940007 </w:t>
      </w:r>
      <w:r>
        <w:rPr>
          <w:rFonts w:ascii="Arial" w:hAnsi="Arial" w:cs="Arial"/>
        </w:rPr>
        <w:t xml:space="preserve">- </w:t>
      </w:r>
      <w:r w:rsidRPr="00B13527">
        <w:rPr>
          <w:rFonts w:ascii="Arial" w:hAnsi="Arial" w:cs="Arial"/>
          <w:i/>
          <w:iCs/>
        </w:rPr>
        <w:t>PNRR - National Center for Gene Therapy and Drugs based on RNA Technology - Spoke 2 (Cancer</w:t>
      </w:r>
      <w:r>
        <w:rPr>
          <w:rFonts w:ascii="Arial" w:hAnsi="Arial" w:cs="Arial"/>
          <w:i/>
          <w:iCs/>
        </w:rPr>
        <w:t xml:space="preserve">) </w:t>
      </w:r>
      <w:r w:rsidR="00E94979">
        <w:rPr>
          <w:rFonts w:ascii="Arial" w:hAnsi="Arial" w:cs="Arial"/>
        </w:rPr>
        <w:t>–</w:t>
      </w:r>
      <w:r>
        <w:rPr>
          <w:rFonts w:ascii="Arial" w:hAnsi="Arial" w:cs="Arial"/>
        </w:rPr>
        <w:t xml:space="preserve"> </w:t>
      </w:r>
      <w:r w:rsidR="00E94979">
        <w:rPr>
          <w:rFonts w:ascii="Arial" w:hAnsi="Arial" w:cs="Arial"/>
        </w:rPr>
        <w:t xml:space="preserve">From 01/11/2022 to </w:t>
      </w:r>
      <w:r w:rsidR="00597897">
        <w:rPr>
          <w:rFonts w:ascii="Arial" w:hAnsi="Arial" w:cs="Arial"/>
        </w:rPr>
        <w:t>31/12/2025</w:t>
      </w:r>
    </w:p>
    <w:p w14:paraId="67A2AD50" w14:textId="77777777" w:rsidR="005310A5" w:rsidRPr="009F211E" w:rsidRDefault="005310A5" w:rsidP="00FD54BF">
      <w:pPr>
        <w:pBdr>
          <w:top w:val="single" w:sz="4" w:space="1" w:color="auto"/>
          <w:left w:val="single" w:sz="4" w:space="4" w:color="auto"/>
          <w:bottom w:val="single" w:sz="4" w:space="1" w:color="auto"/>
          <w:right w:val="single" w:sz="4" w:space="4" w:color="auto"/>
        </w:pBdr>
        <w:rPr>
          <w:rFonts w:ascii="Arial" w:hAnsi="Arial" w:cs="Arial"/>
        </w:rPr>
      </w:pPr>
    </w:p>
    <w:p w14:paraId="7E677424" w14:textId="77777777" w:rsidR="005310A5" w:rsidRPr="009F211E" w:rsidRDefault="005310A5" w:rsidP="005310A5">
      <w:pPr>
        <w:rPr>
          <w:rFonts w:ascii="Arial" w:hAnsi="Arial" w:cs="Arial"/>
        </w:rPr>
      </w:pPr>
    </w:p>
    <w:p w14:paraId="4916F18C" w14:textId="77777777" w:rsidR="00FD54BF" w:rsidRPr="009F211E" w:rsidRDefault="00FD54BF">
      <w:pPr>
        <w:rPr>
          <w:rFonts w:ascii="Arial" w:hAnsi="Arial" w:cs="Arial"/>
        </w:rPr>
      </w:pPr>
    </w:p>
    <w:sectPr w:rsidR="00FD54BF" w:rsidRPr="009F211E" w:rsidSect="0000583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4BF"/>
    <w:rsid w:val="00005835"/>
    <w:rsid w:val="000508FF"/>
    <w:rsid w:val="00053C76"/>
    <w:rsid w:val="0005714A"/>
    <w:rsid w:val="000B7B47"/>
    <w:rsid w:val="00116A09"/>
    <w:rsid w:val="001217A3"/>
    <w:rsid w:val="00131DC0"/>
    <w:rsid w:val="001C2AD0"/>
    <w:rsid w:val="001E632A"/>
    <w:rsid w:val="00222960"/>
    <w:rsid w:val="002846B6"/>
    <w:rsid w:val="002B25DE"/>
    <w:rsid w:val="003C6DEC"/>
    <w:rsid w:val="004076E2"/>
    <w:rsid w:val="00410E41"/>
    <w:rsid w:val="00456BAF"/>
    <w:rsid w:val="004A0B63"/>
    <w:rsid w:val="004B2164"/>
    <w:rsid w:val="004B3513"/>
    <w:rsid w:val="004B576B"/>
    <w:rsid w:val="005267C2"/>
    <w:rsid w:val="005310A5"/>
    <w:rsid w:val="00546DC9"/>
    <w:rsid w:val="00597897"/>
    <w:rsid w:val="005E3DA9"/>
    <w:rsid w:val="00611F17"/>
    <w:rsid w:val="006E11DE"/>
    <w:rsid w:val="007326DC"/>
    <w:rsid w:val="00794B94"/>
    <w:rsid w:val="007B257E"/>
    <w:rsid w:val="0087758B"/>
    <w:rsid w:val="00880BA1"/>
    <w:rsid w:val="008830F8"/>
    <w:rsid w:val="008F1825"/>
    <w:rsid w:val="009879E9"/>
    <w:rsid w:val="009E1984"/>
    <w:rsid w:val="009F211E"/>
    <w:rsid w:val="00A2665E"/>
    <w:rsid w:val="00A47B49"/>
    <w:rsid w:val="00A509B3"/>
    <w:rsid w:val="00A71686"/>
    <w:rsid w:val="00AA5159"/>
    <w:rsid w:val="00AC437C"/>
    <w:rsid w:val="00AC48CD"/>
    <w:rsid w:val="00AF1164"/>
    <w:rsid w:val="00B10043"/>
    <w:rsid w:val="00B122AE"/>
    <w:rsid w:val="00B13527"/>
    <w:rsid w:val="00B20A2C"/>
    <w:rsid w:val="00B31325"/>
    <w:rsid w:val="00C11D20"/>
    <w:rsid w:val="00C12D2B"/>
    <w:rsid w:val="00CD3A4C"/>
    <w:rsid w:val="00CF4F54"/>
    <w:rsid w:val="00DA0C7D"/>
    <w:rsid w:val="00DC1189"/>
    <w:rsid w:val="00E31AA4"/>
    <w:rsid w:val="00E45064"/>
    <w:rsid w:val="00E93E79"/>
    <w:rsid w:val="00E947C9"/>
    <w:rsid w:val="00E948EA"/>
    <w:rsid w:val="00E94979"/>
    <w:rsid w:val="00EA525D"/>
    <w:rsid w:val="00EF2654"/>
    <w:rsid w:val="00F653A9"/>
    <w:rsid w:val="00F877D5"/>
    <w:rsid w:val="00F87C58"/>
    <w:rsid w:val="00F90D59"/>
    <w:rsid w:val="00FD54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CBDE7FB"/>
  <w15:chartTrackingRefBased/>
  <w15:docId w15:val="{F87D8A5B-5CA8-F141-A74C-31D3C49C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D5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D5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D54B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D54B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D54B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D54B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54B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54B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54B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54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D54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D54B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D54B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D54B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D54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54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54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54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54B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54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54B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54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54B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54BF"/>
    <w:rPr>
      <w:i/>
      <w:iCs/>
      <w:color w:val="404040" w:themeColor="text1" w:themeTint="BF"/>
    </w:rPr>
  </w:style>
  <w:style w:type="paragraph" w:styleId="Paragrafoelenco">
    <w:name w:val="List Paragraph"/>
    <w:basedOn w:val="Normale"/>
    <w:uiPriority w:val="34"/>
    <w:qFormat/>
    <w:rsid w:val="00FD54BF"/>
    <w:pPr>
      <w:ind w:left="720"/>
      <w:contextualSpacing/>
    </w:pPr>
  </w:style>
  <w:style w:type="character" w:styleId="Enfasiintensa">
    <w:name w:val="Intense Emphasis"/>
    <w:basedOn w:val="Carpredefinitoparagrafo"/>
    <w:uiPriority w:val="21"/>
    <w:qFormat/>
    <w:rsid w:val="00FD54BF"/>
    <w:rPr>
      <w:i/>
      <w:iCs/>
      <w:color w:val="0F4761" w:themeColor="accent1" w:themeShade="BF"/>
    </w:rPr>
  </w:style>
  <w:style w:type="paragraph" w:styleId="Citazioneintensa">
    <w:name w:val="Intense Quote"/>
    <w:basedOn w:val="Normale"/>
    <w:next w:val="Normale"/>
    <w:link w:val="CitazioneintensaCarattere"/>
    <w:uiPriority w:val="30"/>
    <w:qFormat/>
    <w:rsid w:val="00FD5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D54BF"/>
    <w:rPr>
      <w:i/>
      <w:iCs/>
      <w:color w:val="0F4761" w:themeColor="accent1" w:themeShade="BF"/>
    </w:rPr>
  </w:style>
  <w:style w:type="character" w:styleId="Riferimentointenso">
    <w:name w:val="Intense Reference"/>
    <w:basedOn w:val="Carpredefinitoparagrafo"/>
    <w:uiPriority w:val="32"/>
    <w:qFormat/>
    <w:rsid w:val="00FD54BF"/>
    <w:rPr>
      <w:b/>
      <w:bCs/>
      <w:smallCaps/>
      <w:color w:val="0F4761" w:themeColor="accent1" w:themeShade="BF"/>
      <w:spacing w:val="5"/>
    </w:rPr>
  </w:style>
  <w:style w:type="paragraph" w:styleId="Revisione">
    <w:name w:val="Revision"/>
    <w:hidden/>
    <w:uiPriority w:val="99"/>
    <w:semiHidden/>
    <w:rsid w:val="00DA0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540</Words>
  <Characters>3397</Characters>
  <Application>Microsoft Office Word</Application>
  <DocSecurity>0</DocSecurity>
  <Lines>75</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CARLOMAGNO</dc:creator>
  <cp:keywords/>
  <dc:description/>
  <cp:lastModifiedBy>FRANCESCA CARLOMAGNO</cp:lastModifiedBy>
  <cp:revision>3</cp:revision>
  <dcterms:created xsi:type="dcterms:W3CDTF">2025-11-12T16:45:00Z</dcterms:created>
  <dcterms:modified xsi:type="dcterms:W3CDTF">2026-01-27T10:59:00Z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2025-07-02T10:44:54Z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c146613d-f4d0-4690-a03c-fd203b3b3f55</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