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A0D3" w14:textId="77777777" w:rsidR="009F211E" w:rsidRPr="001E1759" w:rsidRDefault="009F211E">
      <w:pPr>
        <w:rPr>
          <w:rFonts w:ascii="Arial" w:hAnsi="Arial" w:cs="Arial"/>
          <w:lang w:val="en-US"/>
        </w:rPr>
      </w:pPr>
    </w:p>
    <w:p w14:paraId="527B70D5" w14:textId="3059BB63" w:rsidR="00FD54BF" w:rsidRPr="001E1759" w:rsidRDefault="009F211E">
      <w:pPr>
        <w:rPr>
          <w:rFonts w:ascii="Arial" w:hAnsi="Arial" w:cs="Arial"/>
          <w:b/>
          <w:bCs/>
          <w:lang w:val="en-US"/>
        </w:rPr>
      </w:pPr>
      <w:r w:rsidRPr="001E1759">
        <w:rPr>
          <w:rFonts w:ascii="Arial" w:hAnsi="Arial" w:cs="Arial"/>
          <w:b/>
          <w:bCs/>
          <w:lang w:val="en-US"/>
        </w:rPr>
        <w:t xml:space="preserve">PI </w:t>
      </w:r>
      <w:r w:rsidR="00FD54BF" w:rsidRPr="001E1759">
        <w:rPr>
          <w:rFonts w:ascii="Arial" w:hAnsi="Arial" w:cs="Arial"/>
          <w:b/>
          <w:bCs/>
          <w:lang w:val="en-US"/>
        </w:rPr>
        <w:t>N</w:t>
      </w:r>
      <w:r w:rsidRPr="001E1759">
        <w:rPr>
          <w:rFonts w:ascii="Arial" w:hAnsi="Arial" w:cs="Arial"/>
          <w:b/>
          <w:bCs/>
          <w:lang w:val="en-US"/>
        </w:rPr>
        <w:t>AME</w:t>
      </w:r>
      <w:r w:rsidR="00FD54BF" w:rsidRPr="001E1759">
        <w:rPr>
          <w:rFonts w:ascii="Arial" w:hAnsi="Arial" w:cs="Arial"/>
          <w:b/>
          <w:bCs/>
          <w:lang w:val="en-US"/>
        </w:rPr>
        <w:t xml:space="preserve"> </w:t>
      </w:r>
    </w:p>
    <w:p w14:paraId="4497EA79" w14:textId="45B94949" w:rsidR="00FD54BF" w:rsidRPr="001E1759" w:rsidRDefault="001E1759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hyperlink r:id="rId5" w:anchor="!/professor/524f5341204d4152494e414d454c494c4c4f4d4c4c524d5236344135354638333950/riferimenti" w:history="1">
        <w:r w:rsidRPr="0039329F">
          <w:rPr>
            <w:rStyle w:val="Collegamentoipertestuale"/>
            <w:rFonts w:ascii="Arial" w:hAnsi="Arial" w:cs="Arial"/>
            <w:lang w:val="en-US"/>
          </w:rPr>
          <w:t>Rosa Marina Melillo</w:t>
        </w:r>
      </w:hyperlink>
      <w:r w:rsidR="0039329F">
        <w:rPr>
          <w:rFonts w:ascii="Arial" w:hAnsi="Arial" w:cs="Arial"/>
          <w:lang w:val="en-US"/>
        </w:rPr>
        <w:t>, Full Professor</w:t>
      </w:r>
    </w:p>
    <w:p w14:paraId="2FA46921" w14:textId="77777777" w:rsidR="00FD54BF" w:rsidRPr="001E1759" w:rsidRDefault="00FD54BF">
      <w:pPr>
        <w:rPr>
          <w:rFonts w:ascii="Arial" w:hAnsi="Arial" w:cs="Arial"/>
          <w:lang w:val="en-US"/>
        </w:rPr>
      </w:pPr>
    </w:p>
    <w:p w14:paraId="30797954" w14:textId="09133520" w:rsidR="00FD54BF" w:rsidRPr="001E1759" w:rsidRDefault="009F211E">
      <w:pPr>
        <w:rPr>
          <w:rFonts w:ascii="Arial" w:hAnsi="Arial" w:cs="Arial"/>
          <w:lang w:val="en-US"/>
        </w:rPr>
      </w:pPr>
      <w:r w:rsidRPr="001E1759">
        <w:rPr>
          <w:rFonts w:ascii="Arial" w:hAnsi="Arial" w:cs="Arial"/>
          <w:b/>
          <w:bCs/>
          <w:lang w:val="en-US"/>
        </w:rPr>
        <w:t>GROUP</w:t>
      </w:r>
    </w:p>
    <w:p w14:paraId="37F8FE54" w14:textId="30879D03" w:rsidR="001E1759" w:rsidRPr="00FF1807" w:rsidRDefault="001E1759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hyperlink r:id="rId6" w:anchor="!/professor/46454445524943414c494f5454494c54544652433832433435463833394e/riferimenti" w:history="1">
        <w:r w:rsidRPr="0039329F">
          <w:rPr>
            <w:rStyle w:val="Collegamentoipertestuale"/>
            <w:rFonts w:ascii="Arial" w:hAnsi="Arial" w:cs="Arial"/>
          </w:rPr>
          <w:t>Federica Liotti</w:t>
        </w:r>
      </w:hyperlink>
      <w:r w:rsidR="0039329F">
        <w:rPr>
          <w:rFonts w:ascii="Arial" w:hAnsi="Arial" w:cs="Arial"/>
        </w:rPr>
        <w:t>,</w:t>
      </w:r>
      <w:r w:rsidRPr="00FF1807">
        <w:rPr>
          <w:rFonts w:ascii="Arial" w:hAnsi="Arial" w:cs="Arial"/>
        </w:rPr>
        <w:t xml:space="preserve"> RTD</w:t>
      </w:r>
    </w:p>
    <w:p w14:paraId="6253AA45" w14:textId="7125585D" w:rsidR="001E1759" w:rsidRDefault="001E1759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E1759">
        <w:rPr>
          <w:rFonts w:ascii="Arial" w:hAnsi="Arial" w:cs="Arial"/>
        </w:rPr>
        <w:t>Nella Prevete</w:t>
      </w:r>
      <w:r w:rsidR="0039329F">
        <w:rPr>
          <w:rFonts w:ascii="Arial" w:hAnsi="Arial" w:cs="Arial"/>
        </w:rPr>
        <w:t>,</w:t>
      </w:r>
      <w:r w:rsidRPr="001E1759">
        <w:rPr>
          <w:rFonts w:ascii="Arial" w:hAnsi="Arial" w:cs="Arial"/>
        </w:rPr>
        <w:t xml:space="preserve"> </w:t>
      </w:r>
      <w:r w:rsidR="0039329F">
        <w:rPr>
          <w:rFonts w:ascii="Arial" w:hAnsi="Arial" w:cs="Arial"/>
        </w:rPr>
        <w:t>Associate Professor</w:t>
      </w:r>
      <w:r w:rsidRPr="001E1759">
        <w:rPr>
          <w:rFonts w:ascii="Arial" w:hAnsi="Arial" w:cs="Arial"/>
        </w:rPr>
        <w:t xml:space="preserve"> (collaborator fro</w:t>
      </w:r>
      <w:r>
        <w:rPr>
          <w:rFonts w:ascii="Arial" w:hAnsi="Arial" w:cs="Arial"/>
        </w:rPr>
        <w:t>m DISMET)</w:t>
      </w:r>
    </w:p>
    <w:p w14:paraId="77DD3E7B" w14:textId="37467E3C" w:rsidR="001E1759" w:rsidRDefault="001E1759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Maria Marotta</w:t>
      </w:r>
      <w:r w:rsidR="003932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9329F">
        <w:rPr>
          <w:rFonts w:ascii="Arial" w:hAnsi="Arial" w:cs="Arial"/>
          <w:lang w:val="en-US"/>
        </w:rPr>
        <w:t>Post-Doc</w:t>
      </w:r>
    </w:p>
    <w:p w14:paraId="74D67FFF" w14:textId="4F547DE8" w:rsidR="00FD54BF" w:rsidRPr="001E1759" w:rsidRDefault="001E1759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Sara Zirpoli</w:t>
      </w:r>
      <w:r w:rsidR="003932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PhD student</w:t>
      </w:r>
    </w:p>
    <w:p w14:paraId="2417F220" w14:textId="77777777" w:rsidR="00053C76" w:rsidRPr="001E1759" w:rsidRDefault="00053C76" w:rsidP="00053C76">
      <w:pPr>
        <w:rPr>
          <w:rFonts w:ascii="Arial" w:hAnsi="Arial" w:cs="Arial"/>
        </w:rPr>
      </w:pPr>
    </w:p>
    <w:p w14:paraId="195383E1" w14:textId="77777777" w:rsidR="0039329F" w:rsidRDefault="00053C76" w:rsidP="0039329F">
      <w:pPr>
        <w:rPr>
          <w:rFonts w:ascii="Arial" w:hAnsi="Arial" w:cs="Arial"/>
          <w:b/>
          <w:bCs/>
          <w:lang w:val="en-US"/>
        </w:rPr>
      </w:pPr>
      <w:r w:rsidRPr="001E1759">
        <w:rPr>
          <w:rFonts w:ascii="Arial" w:hAnsi="Arial" w:cs="Arial"/>
          <w:b/>
          <w:bCs/>
          <w:lang w:val="en-US"/>
        </w:rPr>
        <w:t>RESEARCH FIELD</w:t>
      </w:r>
    </w:p>
    <w:p w14:paraId="507D7E3A" w14:textId="7EBC4FEF" w:rsidR="0039329F" w:rsidRPr="0039329F" w:rsidRDefault="0039329F" w:rsidP="0039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lang w:val="en-US"/>
        </w:rPr>
      </w:pPr>
      <w:r w:rsidRPr="0039329F">
        <w:rPr>
          <w:rFonts w:ascii="Arial" w:eastAsia="Times New Roman" w:hAnsi="Arial" w:cs="Arial"/>
          <w:kern w:val="0"/>
          <w:lang w:val="en-US" w:eastAsia="it-IT"/>
          <w14:ligatures w14:val="none"/>
        </w:rPr>
        <w:t>The role of the FPR1 Receptor in Gastrointestinal Cancer: modulation of Inflammation and “Pro-resolving” activity</w:t>
      </w:r>
    </w:p>
    <w:p w14:paraId="0A366C3B" w14:textId="77777777" w:rsidR="00F877D5" w:rsidRPr="001E1759" w:rsidRDefault="00F877D5" w:rsidP="00F877D5">
      <w:pPr>
        <w:rPr>
          <w:rFonts w:ascii="Arial" w:hAnsi="Arial" w:cs="Arial"/>
          <w:lang w:val="en-US"/>
        </w:rPr>
      </w:pPr>
    </w:p>
    <w:p w14:paraId="31461A76" w14:textId="26658AE8" w:rsidR="00F877D5" w:rsidRPr="001E1759" w:rsidRDefault="00F877D5" w:rsidP="00F877D5">
      <w:pPr>
        <w:rPr>
          <w:rFonts w:ascii="Arial" w:hAnsi="Arial" w:cs="Arial"/>
          <w:lang w:val="en-US"/>
        </w:rPr>
      </w:pPr>
      <w:r w:rsidRPr="001E1759">
        <w:rPr>
          <w:rFonts w:ascii="Arial" w:hAnsi="Arial" w:cs="Arial"/>
          <w:b/>
          <w:bCs/>
          <w:lang w:val="en-US"/>
        </w:rPr>
        <w:t>KEYWORDS</w:t>
      </w:r>
      <w:r w:rsidRPr="001E1759">
        <w:rPr>
          <w:rFonts w:ascii="Arial" w:hAnsi="Arial" w:cs="Arial"/>
          <w:lang w:val="en-US"/>
        </w:rPr>
        <w:t xml:space="preserve"> </w:t>
      </w:r>
    </w:p>
    <w:p w14:paraId="532A94C1" w14:textId="4DDB85E3" w:rsidR="00F877D5" w:rsidRPr="001E1759" w:rsidRDefault="00056BE8" w:rsidP="00F8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gastroenteric cancer,</w:t>
      </w:r>
      <w:r w:rsidR="00FD35AB">
        <w:rPr>
          <w:rFonts w:ascii="Arial" w:hAnsi="Arial" w:cs="Arial"/>
          <w:lang w:val="en-US"/>
        </w:rPr>
        <w:t xml:space="preserve"> inflammation resolution, </w:t>
      </w:r>
      <w:r w:rsidR="009A4285">
        <w:rPr>
          <w:rFonts w:ascii="Arial" w:hAnsi="Arial" w:cs="Arial"/>
          <w:lang w:val="en-US"/>
        </w:rPr>
        <w:t xml:space="preserve">formyl peptide receptor 1 (FPR1), </w:t>
      </w:r>
      <w:r w:rsidR="00FF1807">
        <w:rPr>
          <w:rFonts w:ascii="Arial" w:hAnsi="Arial" w:cs="Arial"/>
          <w:lang w:val="en-US"/>
        </w:rPr>
        <w:t>cholesterol metabolism, interferon signaling</w:t>
      </w:r>
      <w:r>
        <w:rPr>
          <w:rFonts w:ascii="Arial" w:hAnsi="Arial" w:cs="Arial"/>
          <w:lang w:val="en-US"/>
        </w:rPr>
        <w:t xml:space="preserve"> </w:t>
      </w:r>
    </w:p>
    <w:p w14:paraId="68F83D14" w14:textId="77777777" w:rsidR="00FD54BF" w:rsidRPr="001E1759" w:rsidRDefault="00FD54BF" w:rsidP="0039329F">
      <w:pPr>
        <w:snapToGrid w:val="0"/>
        <w:rPr>
          <w:rFonts w:ascii="Arial" w:hAnsi="Arial" w:cs="Arial"/>
          <w:lang w:val="en-US"/>
        </w:rPr>
      </w:pPr>
    </w:p>
    <w:p w14:paraId="51CE3893" w14:textId="5EFB0B25" w:rsidR="0039329F" w:rsidRDefault="00FD54BF" w:rsidP="0039329F">
      <w:pPr>
        <w:snapToGrid w:val="0"/>
        <w:rPr>
          <w:rFonts w:ascii="Arial" w:hAnsi="Arial" w:cs="Arial"/>
          <w:lang w:val="en-US"/>
        </w:rPr>
      </w:pPr>
      <w:r w:rsidRPr="001E1759">
        <w:rPr>
          <w:rFonts w:ascii="Arial" w:hAnsi="Arial" w:cs="Arial"/>
          <w:b/>
          <w:bCs/>
          <w:lang w:val="en-US"/>
        </w:rPr>
        <w:t>ABSTRACT</w:t>
      </w:r>
      <w:r w:rsidRPr="001E1759">
        <w:rPr>
          <w:rFonts w:ascii="Arial" w:hAnsi="Arial" w:cs="Arial"/>
          <w:lang w:val="en-US"/>
        </w:rPr>
        <w:t xml:space="preserve"> </w:t>
      </w:r>
    </w:p>
    <w:p w14:paraId="178A4066" w14:textId="77777777" w:rsidR="0039329F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napToGrid w:val="0"/>
        <w:rPr>
          <w:rFonts w:ascii="Arial" w:hAnsi="Arial" w:cs="Arial"/>
          <w:lang w:val="en-US"/>
        </w:rPr>
      </w:pP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Inflammation is one of the processes that can promote cancer development. It can persist due to a continuous inflammatory trigger or because of defects in the body’s ability to “resolve” inflammation. Normally, our body actively switches off inflammation through a process in which pro-inflammatory molecules are replaced by lipid-based molecules called Specialized Pro-resolving Mediators (SPMs). The majority of these derive from </w:t>
      </w:r>
      <w:r w:rsidRPr="00554742">
        <w:rPr>
          <w:rFonts w:ascii="Arial" w:eastAsia="Times New Roman" w:hAnsi="Arial" w:cs="Arial"/>
          <w:kern w:val="0"/>
          <w:lang w:eastAsia="it-IT"/>
          <w14:ligatures w14:val="none"/>
        </w:rPr>
        <w:t>ω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-3 and </w:t>
      </w:r>
      <w:r w:rsidRPr="00554742">
        <w:rPr>
          <w:rFonts w:ascii="Arial" w:eastAsia="Times New Roman" w:hAnsi="Arial" w:cs="Arial"/>
          <w:kern w:val="0"/>
          <w:lang w:eastAsia="it-IT"/>
          <w14:ligatures w14:val="none"/>
        </w:rPr>
        <w:t>ω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-6 polyunsaturated fatty acids through the action of specific enzymes, </w:t>
      </w:r>
      <w:r w:rsidRPr="00554742">
        <w:rPr>
          <w:rFonts w:ascii="Arial" w:hAnsi="Arial" w:cs="Arial"/>
          <w:lang w:val="en-US"/>
        </w:rPr>
        <w:t>cycloxygenases (COX2) and lipoxygenases (LOX5/15)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. SPMs bind to receptors of the GPCR family, promoting the resolution of inflammation without suppressing the immune response.</w:t>
      </w:r>
    </w:p>
    <w:p w14:paraId="00F91969" w14:textId="36DEAC71" w:rsidR="00032E36" w:rsidRPr="0039329F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napToGrid w:val="0"/>
        <w:rPr>
          <w:rFonts w:ascii="Arial" w:hAnsi="Arial" w:cs="Arial"/>
          <w:lang w:val="en-US"/>
        </w:rPr>
      </w:pP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We recently discovered that the receptor FPR1, involved in the innate immune response, plays a key role in regulating pro-resolving pathways in gastrointestinal cancers (stomach and colorectal cancer): </w:t>
      </w:r>
    </w:p>
    <w:p w14:paraId="6F508511" w14:textId="264AE03B" w:rsidR="00032E36" w:rsidRPr="00554742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1. 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When FPR1 is “switched off” in stomach and colorectal cancer cells, inflammation increases, new blood vessel formation (angiogenesis) is enhanced, and tumors grow faster.</w:t>
      </w:r>
    </w:p>
    <w:p w14:paraId="7F0DD8A8" w14:textId="58EACAE3" w:rsidR="00032E36" w:rsidRPr="00554742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2. 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Conversely, when FPR1 is “turned on”, inflammation, angiogenesis and tumor growth are </w:t>
      </w:r>
      <w:r w:rsidRPr="00554742">
        <w:rPr>
          <w:rFonts w:ascii="Arial" w:hAnsi="Arial" w:cs="Arial"/>
          <w:lang w:val="en-US"/>
        </w:rPr>
        <w:t>significantly inhibited.</w:t>
      </w:r>
    </w:p>
    <w:p w14:paraId="09CC8CD8" w14:textId="77777777" w:rsidR="0039329F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>
        <w:rPr>
          <w:rFonts w:ascii="Arial" w:hAnsi="Arial" w:cs="Arial"/>
          <w:lang w:val="en-US"/>
        </w:rPr>
        <w:t xml:space="preserve">3. </w:t>
      </w:r>
      <w:r w:rsidRPr="00554742">
        <w:rPr>
          <w:rFonts w:ascii="Arial" w:hAnsi="Arial" w:cs="Arial"/>
          <w:lang w:val="en-US"/>
        </w:rPr>
        <w:t>Exogenous administration of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 SPMs</w:t>
      </w:r>
      <w:r w:rsidR="00045768">
        <w:rPr>
          <w:rFonts w:ascii="Arial" w:eastAsia="Times New Roman" w:hAnsi="Arial" w:cs="Arial"/>
          <w:kern w:val="0"/>
          <w:lang w:val="en-US" w:eastAsia="it-IT"/>
          <w14:ligatures w14:val="none"/>
        </w:rPr>
        <w:t>,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 such as </w:t>
      </w:r>
      <w:r w:rsidR="00045768">
        <w:rPr>
          <w:rFonts w:ascii="Arial" w:eastAsia="Times New Roman" w:hAnsi="Arial" w:cs="Arial"/>
          <w:kern w:val="0"/>
          <w:lang w:val="en-US" w:eastAsia="it-IT"/>
          <w14:ligatures w14:val="none"/>
        </w:rPr>
        <w:t>resolvin D1 (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RvD1</w:t>
      </w:r>
      <w:r w:rsidR="00045768">
        <w:rPr>
          <w:rFonts w:ascii="Arial" w:eastAsia="Times New Roman" w:hAnsi="Arial" w:cs="Arial"/>
          <w:kern w:val="0"/>
          <w:lang w:val="en-US" w:eastAsia="it-IT"/>
          <w14:ligatures w14:val="none"/>
        </w:rPr>
        <w:t>)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 or </w:t>
      </w:r>
      <w:r w:rsidR="00045768">
        <w:rPr>
          <w:rFonts w:ascii="Arial" w:eastAsia="Times New Roman" w:hAnsi="Arial" w:cs="Arial"/>
          <w:kern w:val="0"/>
          <w:lang w:val="en-US" w:eastAsia="it-IT"/>
          <w14:ligatures w14:val="none"/>
        </w:rPr>
        <w:t>lipoxin B4 (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LXB4) can counteract the excessive inflammation and angiogenesis caused by the loss of FPR1</w:t>
      </w:r>
      <w:r w:rsidR="00045768">
        <w:rPr>
          <w:rFonts w:ascii="Arial" w:eastAsia="Times New Roman" w:hAnsi="Arial" w:cs="Arial"/>
          <w:kern w:val="0"/>
          <w:lang w:val="en-US" w:eastAsia="it-IT"/>
          <w14:ligatures w14:val="none"/>
        </w:rPr>
        <w:t>, inhibiting tumor growth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.</w:t>
      </w:r>
    </w:p>
    <w:p w14:paraId="42ED9815" w14:textId="68A7D613" w:rsidR="00032E36" w:rsidRPr="00554742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Moreover, certain genetic variants of FPR1 are linked to a higher risk of developing stomach cancer. In colorectal tumors, a reduced presence of pro-resolving molecules has been observed, suggesting a</w:t>
      </w:r>
      <w:r w:rsidRPr="00554742">
        <w:rPr>
          <w:rFonts w:ascii="Arial" w:hAnsi="Arial" w:cs="Arial"/>
          <w:lang w:val="en-US"/>
        </w:rPr>
        <w:t xml:space="preserve"> defective lipid class switching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.</w:t>
      </w:r>
    </w:p>
    <w:p w14:paraId="2FF02CC1" w14:textId="77777777" w:rsidR="00032E36" w:rsidRPr="00554742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 w:rsidRPr="00554742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Our Research Goals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br/>
        <w:t>Building on these findings, we aim to:</w:t>
      </w:r>
    </w:p>
    <w:p w14:paraId="2BF1BAC3" w14:textId="7A956B88" w:rsidR="00032E36" w:rsidRPr="00554742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lastRenderedPageBreak/>
        <w:t xml:space="preserve">1. </w:t>
      </w:r>
      <w:r w:rsidRPr="00554742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Understand FPR1 molecular pathways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: We are investigating which genes and transcription factors are activated by FPR1. </w:t>
      </w:r>
      <w:r w:rsidRPr="00554742">
        <w:rPr>
          <w:rStyle w:val="u-font-serif"/>
          <w:rFonts w:ascii="Arial" w:hAnsi="Arial" w:cs="Arial"/>
          <w:lang w:val="en-US"/>
        </w:rPr>
        <w:t>We identified two main FPR1-regulated gene clusters: cholesterol synthesis pathway, upregulated in FPR1-overexpressing and down-regulated in FPR1</w:t>
      </w:r>
      <w:r w:rsidR="00045768">
        <w:rPr>
          <w:rStyle w:val="u-font-serif"/>
          <w:rFonts w:ascii="Arial" w:hAnsi="Arial" w:cs="Arial"/>
          <w:lang w:val="en-US"/>
        </w:rPr>
        <w:t>-</w:t>
      </w:r>
      <w:r w:rsidR="00045768" w:rsidRPr="00554742">
        <w:rPr>
          <w:rStyle w:val="u-font-serif"/>
          <w:rFonts w:ascii="Arial" w:hAnsi="Arial" w:cs="Arial"/>
          <w:lang w:val="en-US"/>
        </w:rPr>
        <w:t>silenced</w:t>
      </w:r>
      <w:r w:rsidRPr="00554742">
        <w:rPr>
          <w:rStyle w:val="u-font-serif"/>
          <w:rFonts w:ascii="Arial" w:hAnsi="Arial" w:cs="Arial"/>
          <w:lang w:val="en-US"/>
        </w:rPr>
        <w:t xml:space="preserve"> cells; antiviral interferon response, displaying the opposite behavior. We also identified transcriptional factors (TFs) activated upon FPR1 stimulation. We are currently trying to understand 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how </w:t>
      </w:r>
      <w:r w:rsidR="00045768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these pathways 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influence the production of pro-resolving molecules.</w:t>
      </w:r>
    </w:p>
    <w:p w14:paraId="73968BBA" w14:textId="0BC142AC" w:rsidR="00032E36" w:rsidRPr="00554742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 xml:space="preserve">2. </w:t>
      </w:r>
      <w:r w:rsidRPr="00554742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Explore how SPMs shape the tumor microenvironment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, using experimental syngeneic mice models of colorectal cancer.</w:t>
      </w:r>
    </w:p>
    <w:p w14:paraId="717B43F2" w14:textId="36C38AC7" w:rsidR="00032E36" w:rsidRPr="00554742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 xml:space="preserve">3. </w:t>
      </w:r>
      <w:r w:rsidRPr="00554742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Test new therapeutic strategies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 that target FPR1 or boost pro-resolving mediators to slow down or block tumor growth.</w:t>
      </w:r>
    </w:p>
    <w:p w14:paraId="61EEEF6C" w14:textId="514B2EE3" w:rsidR="00032E36" w:rsidRPr="00045768" w:rsidRDefault="00032E36" w:rsidP="003932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 xml:space="preserve">4. </w:t>
      </w:r>
      <w:r w:rsidRPr="00554742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Identify prognostic markers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: Using data from </w:t>
      </w:r>
      <w:r w:rsidRPr="00554742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The Cancer Genome Atlas (TCGA)</w:t>
      </w:r>
      <w:r w:rsidRPr="00554742">
        <w:rPr>
          <w:rFonts w:ascii="Arial" w:eastAsia="Times New Roman" w:hAnsi="Arial" w:cs="Arial"/>
          <w:kern w:val="0"/>
          <w:lang w:val="en-US" w:eastAsia="it-IT"/>
          <w14:ligatures w14:val="none"/>
        </w:rPr>
        <w:t>, we found that high expression of FPR1 and ALOX15 is linked to better patient outcomes. We are developing a “composite score” based on genes involved in SPM metabolism to correlate pathway activity with tumor progression and clinical features.</w:t>
      </w:r>
    </w:p>
    <w:p w14:paraId="65D046DC" w14:textId="77777777" w:rsidR="00FD54BF" w:rsidRPr="001E1759" w:rsidRDefault="00FD54BF">
      <w:pPr>
        <w:rPr>
          <w:rFonts w:ascii="Arial" w:hAnsi="Arial" w:cs="Arial"/>
          <w:lang w:val="en-US"/>
        </w:rPr>
      </w:pPr>
    </w:p>
    <w:p w14:paraId="2F42934F" w14:textId="70A2EA43" w:rsidR="00FD54BF" w:rsidRPr="001E1759" w:rsidRDefault="009F211E">
      <w:pPr>
        <w:rPr>
          <w:rFonts w:ascii="Arial" w:hAnsi="Arial" w:cs="Arial"/>
          <w:lang w:val="en-US"/>
        </w:rPr>
      </w:pPr>
      <w:r w:rsidRPr="001E1759">
        <w:rPr>
          <w:rFonts w:ascii="Arial" w:hAnsi="Arial" w:cs="Arial"/>
          <w:b/>
          <w:bCs/>
          <w:lang w:val="en-US"/>
        </w:rPr>
        <w:t>PUBLICATIONS</w:t>
      </w:r>
      <w:r w:rsidR="00FD54BF" w:rsidRPr="001E1759">
        <w:rPr>
          <w:rFonts w:ascii="Arial" w:hAnsi="Arial" w:cs="Arial"/>
          <w:lang w:val="en-US"/>
        </w:rPr>
        <w:t xml:space="preserve"> (</w:t>
      </w:r>
      <w:r w:rsidR="0039329F">
        <w:rPr>
          <w:rFonts w:ascii="Arial" w:hAnsi="Arial" w:cs="Arial"/>
          <w:lang w:val="en-US"/>
        </w:rPr>
        <w:t>only</w:t>
      </w:r>
      <w:r w:rsidR="00FD54BF" w:rsidRPr="001E1759">
        <w:rPr>
          <w:rFonts w:ascii="Arial" w:hAnsi="Arial" w:cs="Arial"/>
          <w:lang w:val="en-US"/>
        </w:rPr>
        <w:t xml:space="preserve"> 5 </w:t>
      </w:r>
      <w:r w:rsidR="0039329F">
        <w:rPr>
          <w:rFonts w:ascii="Arial" w:hAnsi="Arial" w:cs="Arial"/>
          <w:lang w:val="en-US"/>
        </w:rPr>
        <w:t xml:space="preserve">in the </w:t>
      </w:r>
      <w:r w:rsidRPr="001E1759">
        <w:rPr>
          <w:rFonts w:ascii="Arial" w:hAnsi="Arial" w:cs="Arial"/>
          <w:lang w:val="en-US"/>
        </w:rPr>
        <w:t>last 5 years</w:t>
      </w:r>
      <w:r w:rsidR="00FD54BF" w:rsidRPr="001E1759">
        <w:rPr>
          <w:rFonts w:ascii="Arial" w:hAnsi="Arial" w:cs="Arial"/>
          <w:lang w:val="en-US"/>
        </w:rPr>
        <w:t>)</w:t>
      </w:r>
      <w:r w:rsidR="005E3DA9" w:rsidRPr="001E1759">
        <w:rPr>
          <w:rFonts w:ascii="Arial" w:hAnsi="Arial" w:cs="Arial"/>
          <w:lang w:val="en-US"/>
        </w:rPr>
        <w:t xml:space="preserve"> </w:t>
      </w:r>
    </w:p>
    <w:p w14:paraId="24812525" w14:textId="77777777" w:rsidR="0041023E" w:rsidRPr="00D14FB2" w:rsidRDefault="0041023E" w:rsidP="00410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u w:val="single"/>
        </w:rPr>
      </w:pPr>
      <w:r w:rsidRPr="0041023E">
        <w:rPr>
          <w:rFonts w:ascii="Arial" w:hAnsi="Arial" w:cs="Arial"/>
        </w:rPr>
        <w:t xml:space="preserve">1: Liotti F, Marotta M, Costanzo M, De Simone C, Zirpoli S, De Falco V, </w:t>
      </w:r>
      <w:r w:rsidRPr="00D14FB2">
        <w:rPr>
          <w:rFonts w:ascii="Arial" w:hAnsi="Arial" w:cs="Arial"/>
          <w:u w:val="single"/>
        </w:rPr>
        <w:t>Melillo</w:t>
      </w:r>
    </w:p>
    <w:p w14:paraId="097AD11D" w14:textId="77777777" w:rsidR="0041023E" w:rsidRPr="0041023E" w:rsidRDefault="0041023E" w:rsidP="00410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D14FB2">
        <w:rPr>
          <w:rFonts w:ascii="Arial" w:hAnsi="Arial" w:cs="Arial"/>
          <w:u w:val="single"/>
          <w:lang w:val="en-US"/>
        </w:rPr>
        <w:t>RM</w:t>
      </w:r>
      <w:r w:rsidRPr="0041023E">
        <w:rPr>
          <w:rFonts w:ascii="Arial" w:hAnsi="Arial" w:cs="Arial"/>
          <w:lang w:val="en-US"/>
        </w:rPr>
        <w:t>, Prevete N. Formyl peptide receptor 1 signaling strength orchestrates the</w:t>
      </w:r>
    </w:p>
    <w:p w14:paraId="47B502C0" w14:textId="77777777" w:rsidR="0041023E" w:rsidRPr="0041023E" w:rsidRDefault="0041023E" w:rsidP="00410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41023E">
        <w:rPr>
          <w:rFonts w:ascii="Arial" w:hAnsi="Arial" w:cs="Arial"/>
          <w:lang w:val="en-US"/>
        </w:rPr>
        <w:t>switch from pro-inflammatory to pro-resolving responses: The way to exert its</w:t>
      </w:r>
    </w:p>
    <w:p w14:paraId="063768F4" w14:textId="77777777" w:rsidR="0041023E" w:rsidRPr="0041023E" w:rsidRDefault="0041023E" w:rsidP="00410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41023E">
        <w:rPr>
          <w:rFonts w:ascii="Arial" w:hAnsi="Arial" w:cs="Arial"/>
          <w:lang w:val="en-US"/>
        </w:rPr>
        <w:t>anti-angiogenic and tumor suppressor functions. Biomed Pharmacother. 2025</w:t>
      </w:r>
    </w:p>
    <w:p w14:paraId="12FA8C05" w14:textId="0743EA34" w:rsidR="00056BE8" w:rsidRDefault="0041023E" w:rsidP="0039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41023E">
        <w:rPr>
          <w:rFonts w:ascii="Arial" w:hAnsi="Arial" w:cs="Arial"/>
          <w:lang w:val="en-US"/>
        </w:rPr>
        <w:t xml:space="preserve">May;186:117961. doi: 10.1016/j.biopha.2025.117961. </w:t>
      </w:r>
    </w:p>
    <w:p w14:paraId="6DBCAA9E" w14:textId="77777777" w:rsidR="0041023E" w:rsidRPr="00056BE8" w:rsidRDefault="0041023E" w:rsidP="00410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0DA4DB8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>2: Liotti F, Kumar N, Prevete N, Marotta M, Sorriento D, Ieranò C, Ronchi A,</w:t>
      </w:r>
    </w:p>
    <w:p w14:paraId="41E464A2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>Marino FZ, Moretti S, Colella R, Puxeddu E, Paladino S, Kano Y, Ohh M, Scala S,</w:t>
      </w:r>
    </w:p>
    <w:p w14:paraId="71F57E0E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D14FB2">
        <w:rPr>
          <w:rFonts w:ascii="Arial" w:hAnsi="Arial" w:cs="Arial"/>
          <w:u w:val="single"/>
          <w:lang w:val="en-US"/>
        </w:rPr>
        <w:t>Melillo RM</w:t>
      </w:r>
      <w:r w:rsidRPr="00056BE8">
        <w:rPr>
          <w:rFonts w:ascii="Arial" w:hAnsi="Arial" w:cs="Arial"/>
          <w:lang w:val="en-US"/>
        </w:rPr>
        <w:t>. PD-1 blockade delays tumor growth by inhibiting an intrinsic</w:t>
      </w:r>
    </w:p>
    <w:p w14:paraId="71F1CBCE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>SHP2/Ras/MAPK signalling in thyroid cancer cells. J Exp Clin Cancer Res. 2021</w:t>
      </w:r>
    </w:p>
    <w:p w14:paraId="694BD459" w14:textId="537C750D" w:rsidR="00056BE8" w:rsidRPr="00056BE8" w:rsidRDefault="00056BE8" w:rsidP="0039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  <w:lang w:val="en-US"/>
        </w:rPr>
        <w:t xml:space="preserve">Jan 7;40(1):22. doi: 10.1186/s13046-020-01818-1. </w:t>
      </w:r>
    </w:p>
    <w:p w14:paraId="1D1E3D17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C1A5E45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 xml:space="preserve">3: Liotti F, Marotta M, Sorriento D, Pone E, Morra F, </w:t>
      </w:r>
      <w:r w:rsidRPr="00D14FB2">
        <w:rPr>
          <w:rFonts w:ascii="Arial" w:hAnsi="Arial" w:cs="Arial"/>
          <w:u w:val="single"/>
        </w:rPr>
        <w:t>Melillo RM</w:t>
      </w:r>
      <w:r w:rsidRPr="00056BE8">
        <w:rPr>
          <w:rFonts w:ascii="Arial" w:hAnsi="Arial" w:cs="Arial"/>
        </w:rPr>
        <w:t>, Prevete N.</w:t>
      </w:r>
    </w:p>
    <w:p w14:paraId="0A9F386A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>Toll-Like Receptor 7 Mediates Inflammation Resolution and Inhibition of</w:t>
      </w:r>
    </w:p>
    <w:p w14:paraId="1943E897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>Angiogenesis in Non-Small Cell Lung Cancer. Cancers (Basel). 2021 Feb</w:t>
      </w:r>
    </w:p>
    <w:p w14:paraId="5D3EB787" w14:textId="68A35B59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  <w:lang w:val="en-US"/>
        </w:rPr>
        <w:t xml:space="preserve">10;13(4):740. doi: 10.3390/cancers13040740. </w:t>
      </w:r>
    </w:p>
    <w:p w14:paraId="4A13AB9B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FAB32EC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>4: Ieranò C, Righelli D, D'Alterio C, Napolitano M, Portella L, Rea G, Auletta</w:t>
      </w:r>
    </w:p>
    <w:p w14:paraId="15CD6ADE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>F, Santagata S, Trotta AM, Guardascione G, Liotti F, Prevete N, Maiolino P,</w:t>
      </w:r>
    </w:p>
    <w:p w14:paraId="0489861E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>Luciano A, Barbieri A, Di Mauro A, Roma C, Esposito Abate R, Tatangelo F,</w:t>
      </w:r>
    </w:p>
    <w:p w14:paraId="2AEADA9B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 xml:space="preserve">Pacelli R, Normanno N, </w:t>
      </w:r>
      <w:r w:rsidRPr="00D14FB2">
        <w:rPr>
          <w:rFonts w:ascii="Arial" w:hAnsi="Arial" w:cs="Arial"/>
          <w:u w:val="single"/>
        </w:rPr>
        <w:t>Melillo RM</w:t>
      </w:r>
      <w:r w:rsidRPr="00056BE8">
        <w:rPr>
          <w:rFonts w:ascii="Arial" w:hAnsi="Arial" w:cs="Arial"/>
        </w:rPr>
        <w:t>, Scala S. In PD-1+ human colon cancer cells</w:t>
      </w:r>
    </w:p>
    <w:p w14:paraId="0ED13E82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>NIVOLUMAB promotes survival and could protect tumor cells from conventional</w:t>
      </w:r>
    </w:p>
    <w:p w14:paraId="0C57BEAC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>therapies. J Immunother Cancer. 2022 Mar;10(3):e004032. doi:</w:t>
      </w:r>
    </w:p>
    <w:p w14:paraId="1D3A7DDD" w14:textId="5DF44730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 xml:space="preserve">10.1136/jitc-2021-004032. </w:t>
      </w:r>
    </w:p>
    <w:p w14:paraId="67FB55A8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0120E16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>5: Liotti F, Marotta M, Sorriento D, Pagliuca C, Caturano V, Mantova G,</w:t>
      </w:r>
    </w:p>
    <w:p w14:paraId="3FB325BA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056BE8">
        <w:rPr>
          <w:rFonts w:ascii="Arial" w:hAnsi="Arial" w:cs="Arial"/>
        </w:rPr>
        <w:t xml:space="preserve">Scaglione E, Salvatore P, </w:t>
      </w:r>
      <w:r w:rsidRPr="00D14FB2">
        <w:rPr>
          <w:rFonts w:ascii="Arial" w:hAnsi="Arial" w:cs="Arial"/>
          <w:u w:val="single"/>
        </w:rPr>
        <w:t>Melillo RM</w:t>
      </w:r>
      <w:r w:rsidRPr="00056BE8">
        <w:rPr>
          <w:rFonts w:ascii="Arial" w:hAnsi="Arial" w:cs="Arial"/>
        </w:rPr>
        <w:t>, Prevete N. Probiotic Lactobacillus</w:t>
      </w:r>
    </w:p>
    <w:p w14:paraId="56BB3233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>rhamnosus GG (LGG) restrains the angiogenic potential of colorectal carcinoma</w:t>
      </w:r>
    </w:p>
    <w:p w14:paraId="6681C25D" w14:textId="77777777" w:rsidR="00056BE8" w:rsidRPr="00056BE8" w:rsidRDefault="00056BE8" w:rsidP="000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>cells by activating a proresolving program via formyl peptide receptor 1. Mol</w:t>
      </w:r>
    </w:p>
    <w:p w14:paraId="25977EC1" w14:textId="7F5BDED1" w:rsidR="00FD54BF" w:rsidRPr="001E1759" w:rsidRDefault="00056BE8" w:rsidP="00393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056BE8">
        <w:rPr>
          <w:rFonts w:ascii="Arial" w:hAnsi="Arial" w:cs="Arial"/>
          <w:lang w:val="en-US"/>
        </w:rPr>
        <w:t xml:space="preserve">Oncol. 2022 Aug;16(16):2959-2980. doi: 10.1002/1878-0261.13280. </w:t>
      </w:r>
    </w:p>
    <w:p w14:paraId="6730BE66" w14:textId="77777777" w:rsidR="00FD54BF" w:rsidRPr="001E1759" w:rsidRDefault="00FD54BF">
      <w:pPr>
        <w:rPr>
          <w:rFonts w:ascii="Arial" w:hAnsi="Arial" w:cs="Arial"/>
          <w:lang w:val="en-US"/>
        </w:rPr>
      </w:pPr>
    </w:p>
    <w:p w14:paraId="123A8834" w14:textId="027FE4BA" w:rsidR="00FD54BF" w:rsidRPr="001E1759" w:rsidRDefault="009F211E">
      <w:pPr>
        <w:rPr>
          <w:rFonts w:ascii="Arial" w:hAnsi="Arial" w:cs="Arial"/>
          <w:lang w:val="en-US"/>
        </w:rPr>
      </w:pPr>
      <w:r w:rsidRPr="001E1759">
        <w:rPr>
          <w:rFonts w:ascii="Arial" w:hAnsi="Arial" w:cs="Arial"/>
          <w:b/>
          <w:bCs/>
          <w:lang w:val="en-US"/>
        </w:rPr>
        <w:t>FUNDING</w:t>
      </w:r>
      <w:r w:rsidRPr="001E1759">
        <w:rPr>
          <w:rFonts w:ascii="Arial" w:hAnsi="Arial" w:cs="Arial"/>
          <w:lang w:val="en-US"/>
        </w:rPr>
        <w:t xml:space="preserve"> </w:t>
      </w:r>
    </w:p>
    <w:p w14:paraId="0D8C477B" w14:textId="7F765D27" w:rsidR="00D14FB2" w:rsidRPr="00D14FB2" w:rsidRDefault="001E1759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14FB2">
        <w:rPr>
          <w:rFonts w:ascii="Arial" w:hAnsi="Arial" w:cs="Arial"/>
        </w:rPr>
        <w:t>MIUR, PRIN 2022 PNRR,</w:t>
      </w:r>
      <w:r w:rsidR="00D14FB2" w:rsidRPr="00D14FB2">
        <w:rPr>
          <w:rFonts w:ascii="Arial" w:hAnsi="Arial" w:cs="Arial"/>
        </w:rPr>
        <w:t xml:space="preserve"> </w:t>
      </w:r>
    </w:p>
    <w:p w14:paraId="3FE6685D" w14:textId="626B482F" w:rsidR="00FD54BF" w:rsidRPr="00D14FB2" w:rsidRDefault="001E1759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D14FB2">
        <w:rPr>
          <w:rFonts w:ascii="Arial" w:hAnsi="Arial" w:cs="Arial"/>
          <w:lang w:val="en-US"/>
        </w:rPr>
        <w:t>Novel therapeutic perspectives for malignant pleural mesothelioma by unravelling the role of the BRCA1/2 - BAP1 - CCDC6 axis in HR, ROS tolerance, and immunity</w:t>
      </w:r>
      <w:r w:rsidR="00056BE8" w:rsidRPr="00D14FB2">
        <w:rPr>
          <w:rFonts w:ascii="Arial" w:hAnsi="Arial" w:cs="Arial"/>
          <w:b/>
          <w:bCs/>
          <w:i/>
          <w:iCs/>
          <w:lang w:val="en-US"/>
        </w:rPr>
        <w:t xml:space="preserve"> </w:t>
      </w:r>
      <w:r w:rsidR="00056BE8" w:rsidRPr="00D14FB2">
        <w:rPr>
          <w:rFonts w:ascii="Arial" w:eastAsia="Times New Roman" w:hAnsi="Arial" w:cs="Arial"/>
          <w:kern w:val="0"/>
          <w:lang w:val="en-US" w:eastAsia="it-IT"/>
          <w14:ligatures w14:val="none"/>
        </w:rPr>
        <w:t>2023-2025</w:t>
      </w:r>
    </w:p>
    <w:p w14:paraId="0576C9B6" w14:textId="511DC968" w:rsidR="005310A5" w:rsidRPr="00D14FB2" w:rsidRDefault="00197B12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D14FB2">
        <w:rPr>
          <w:rFonts w:ascii="Arial" w:hAnsi="Arial" w:cs="Arial"/>
          <w:lang w:val="en-US"/>
        </w:rPr>
        <w:br/>
        <w:t xml:space="preserve">MIUR, PRIN 2022 PNRR, </w:t>
      </w:r>
      <w:r w:rsidRPr="00D14FB2">
        <w:rPr>
          <w:rFonts w:ascii="Arial" w:hAnsi="Arial" w:cs="Arial"/>
          <w:lang w:val="en-US"/>
        </w:rPr>
        <w:br/>
        <w:t>Deciphering the role of epigenetics and X chromosome inactivation in the control of Foxp3 expression and regulatory T cell function in Multiple Sclerosis</w:t>
      </w:r>
      <w:r w:rsidRPr="00D14FB2">
        <w:rPr>
          <w:rFonts w:ascii="Arial" w:hAnsi="Arial" w:cs="Arial"/>
          <w:lang w:val="en-US"/>
        </w:rPr>
        <w:br/>
      </w:r>
    </w:p>
    <w:p w14:paraId="412C63BC" w14:textId="77777777" w:rsidR="0039329F" w:rsidRDefault="00197B12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D14FB2">
        <w:rPr>
          <w:rFonts w:ascii="Arial" w:hAnsi="Arial" w:cs="Arial"/>
          <w:lang w:val="en-US"/>
        </w:rPr>
        <w:t xml:space="preserve">MIUR, PRIN 2022 PNRR </w:t>
      </w:r>
    </w:p>
    <w:p w14:paraId="67A2AD50" w14:textId="4FFD3D7A" w:rsidR="005310A5" w:rsidRPr="00D14FB2" w:rsidRDefault="00197B12" w:rsidP="00FD5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D14FB2">
        <w:rPr>
          <w:rFonts w:ascii="Arial" w:hAnsi="Arial" w:cs="Arial"/>
          <w:lang w:val="en-US"/>
        </w:rPr>
        <w:t>Resolution of inflammation in colon cancer: impact on cancer cells and tumor microenvironment</w:t>
      </w:r>
    </w:p>
    <w:p w14:paraId="7E677424" w14:textId="77777777" w:rsidR="005310A5" w:rsidRPr="001E1759" w:rsidRDefault="005310A5" w:rsidP="005310A5">
      <w:pPr>
        <w:rPr>
          <w:rFonts w:ascii="Arial" w:hAnsi="Arial" w:cs="Arial"/>
          <w:lang w:val="en-US"/>
        </w:rPr>
      </w:pPr>
    </w:p>
    <w:p w14:paraId="4916F18C" w14:textId="77777777" w:rsidR="00FD54BF" w:rsidRPr="001E1759" w:rsidRDefault="00FD54BF">
      <w:pPr>
        <w:rPr>
          <w:rFonts w:ascii="Arial" w:hAnsi="Arial" w:cs="Arial"/>
          <w:lang w:val="en-US"/>
        </w:rPr>
      </w:pPr>
    </w:p>
    <w:sectPr w:rsidR="00FD54BF" w:rsidRPr="001E1759" w:rsidSect="0000583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C0C25"/>
    <w:multiLevelType w:val="multilevel"/>
    <w:tmpl w:val="4A0A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941E0"/>
    <w:multiLevelType w:val="multilevel"/>
    <w:tmpl w:val="CC00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3157615">
    <w:abstractNumId w:val="1"/>
  </w:num>
  <w:num w:numId="2" w16cid:durableId="144985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BF"/>
    <w:rsid w:val="00005835"/>
    <w:rsid w:val="00032E36"/>
    <w:rsid w:val="00045768"/>
    <w:rsid w:val="000508FF"/>
    <w:rsid w:val="00053C76"/>
    <w:rsid w:val="00056BE8"/>
    <w:rsid w:val="00197B12"/>
    <w:rsid w:val="001E1759"/>
    <w:rsid w:val="002F3DB9"/>
    <w:rsid w:val="0039329F"/>
    <w:rsid w:val="004076E2"/>
    <w:rsid w:val="0041023E"/>
    <w:rsid w:val="004A0B63"/>
    <w:rsid w:val="005310A5"/>
    <w:rsid w:val="00546DC9"/>
    <w:rsid w:val="005E3DA9"/>
    <w:rsid w:val="006B53DE"/>
    <w:rsid w:val="0087758B"/>
    <w:rsid w:val="00880BA1"/>
    <w:rsid w:val="008830F8"/>
    <w:rsid w:val="00986528"/>
    <w:rsid w:val="009879E9"/>
    <w:rsid w:val="009A4285"/>
    <w:rsid w:val="009E4AE5"/>
    <w:rsid w:val="009F211E"/>
    <w:rsid w:val="00B20A2C"/>
    <w:rsid w:val="00C12D2B"/>
    <w:rsid w:val="00CD6240"/>
    <w:rsid w:val="00D14FB2"/>
    <w:rsid w:val="00EA525D"/>
    <w:rsid w:val="00F877D5"/>
    <w:rsid w:val="00FD35AB"/>
    <w:rsid w:val="00FD54BF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DE7FB"/>
  <w15:chartTrackingRefBased/>
  <w15:docId w15:val="{F87D8A5B-5CA8-F141-A74C-31D3C49C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4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4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4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4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4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4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4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4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4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4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4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4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4BF"/>
    <w:rPr>
      <w:b/>
      <w:bCs/>
      <w:smallCaps/>
      <w:color w:val="0F4761" w:themeColor="accent1" w:themeShade="BF"/>
      <w:spacing w:val="5"/>
    </w:rPr>
  </w:style>
  <w:style w:type="character" w:customStyle="1" w:styleId="u-font-serif">
    <w:name w:val="u-font-serif"/>
    <w:basedOn w:val="Carpredefinitoparagrafo"/>
    <w:rsid w:val="0041023E"/>
  </w:style>
  <w:style w:type="character" w:styleId="Collegamentoipertestuale">
    <w:name w:val="Hyperlink"/>
    <w:basedOn w:val="Carpredefinitoparagrafo"/>
    <w:uiPriority w:val="99"/>
    <w:unhideWhenUsed/>
    <w:rsid w:val="0039329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93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centi.unina.it/" TargetMode="External"/><Relationship Id="rId5" Type="http://schemas.openxmlformats.org/officeDocument/2006/relationships/hyperlink" Target="https://www.docenti.unin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797</Words>
  <Characters>4775</Characters>
  <Application>Microsoft Office Word</Application>
  <DocSecurity>0</DocSecurity>
  <Lines>104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CARLOMAGNO</dc:creator>
  <cp:keywords/>
  <dc:description/>
  <cp:lastModifiedBy>FRANCESCA CARLOMAGNO</cp:lastModifiedBy>
  <cp:revision>13</cp:revision>
  <dcterms:created xsi:type="dcterms:W3CDTF">2025-07-03T12:43:00Z</dcterms:created>
  <dcterms:modified xsi:type="dcterms:W3CDTF">2026-01-27T11:07:00Z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2025-07-02T10:44:54Z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c146613d-f4d0-4690-a03c-fd203b3b3f55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