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DA7BC5" w:rsidRDefault="009F211E">
      <w:pPr>
        <w:rPr>
          <w:rFonts w:ascii="Arial" w:hAnsi="Arial" w:cs="Arial"/>
          <w:b/>
          <w:bCs/>
          <w:lang w:val="en-GB"/>
        </w:rPr>
      </w:pPr>
    </w:p>
    <w:p w14:paraId="793B031C" w14:textId="5412FEF1" w:rsidR="00FD54BF" w:rsidRPr="002041E7" w:rsidRDefault="009F211E" w:rsidP="00283211">
      <w:pPr>
        <w:rPr>
          <w:rFonts w:ascii="Arial" w:hAnsi="Arial" w:cs="Arial"/>
          <w:b/>
          <w:bCs/>
          <w:lang w:val="en-GB"/>
        </w:rPr>
      </w:pPr>
      <w:r w:rsidRPr="002041E7">
        <w:rPr>
          <w:rFonts w:ascii="Arial" w:hAnsi="Arial" w:cs="Arial"/>
          <w:b/>
          <w:bCs/>
          <w:lang w:val="en-GB"/>
        </w:rPr>
        <w:t xml:space="preserve">PI </w:t>
      </w:r>
      <w:r w:rsidR="00FD54BF" w:rsidRPr="002041E7">
        <w:rPr>
          <w:rFonts w:ascii="Arial" w:hAnsi="Arial" w:cs="Arial"/>
          <w:b/>
          <w:bCs/>
          <w:lang w:val="en-GB"/>
        </w:rPr>
        <w:t>N</w:t>
      </w:r>
      <w:r w:rsidRPr="002041E7">
        <w:rPr>
          <w:rFonts w:ascii="Arial" w:hAnsi="Arial" w:cs="Arial"/>
          <w:b/>
          <w:bCs/>
          <w:lang w:val="en-GB"/>
        </w:rPr>
        <w:t>AME</w:t>
      </w:r>
      <w:r w:rsidR="00FD54BF" w:rsidRPr="002041E7">
        <w:rPr>
          <w:rFonts w:ascii="Arial" w:hAnsi="Arial" w:cs="Arial"/>
          <w:b/>
          <w:bCs/>
          <w:lang w:val="en-GB"/>
        </w:rPr>
        <w:t xml:space="preserve"> </w:t>
      </w:r>
    </w:p>
    <w:p w14:paraId="4497EA79" w14:textId="629A3A31" w:rsidR="00FD54BF"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hyperlink r:id="rId4" w:anchor="!/professor/4c55434150414c415a5a4f504c5a4c435538335332394638333957/riferimenti" w:history="1">
        <w:r w:rsidRPr="00131F72">
          <w:rPr>
            <w:rStyle w:val="Collegamentoipertestuale"/>
            <w:rFonts w:ascii="Arial" w:hAnsi="Arial" w:cs="Arial"/>
            <w:lang w:val="en-GB"/>
          </w:rPr>
          <w:t>Luca Palazzo</w:t>
        </w:r>
      </w:hyperlink>
      <w:r w:rsidR="00D113ED">
        <w:rPr>
          <w:rFonts w:ascii="Arial" w:hAnsi="Arial" w:cs="Arial"/>
          <w:lang w:val="en-GB"/>
        </w:rPr>
        <w:t xml:space="preserve">, Associate </w:t>
      </w:r>
      <w:r w:rsidR="00131F72">
        <w:rPr>
          <w:rFonts w:ascii="Arial" w:hAnsi="Arial" w:cs="Arial"/>
          <w:lang w:val="en-GB"/>
        </w:rPr>
        <w:t>Professor</w:t>
      </w:r>
    </w:p>
    <w:p w14:paraId="2FA46921" w14:textId="77777777" w:rsidR="00FD54BF" w:rsidRPr="002041E7" w:rsidRDefault="00FD54BF">
      <w:pPr>
        <w:rPr>
          <w:rFonts w:ascii="Arial" w:hAnsi="Arial" w:cs="Arial"/>
          <w:lang w:val="en-GB"/>
        </w:rPr>
      </w:pPr>
    </w:p>
    <w:p w14:paraId="30797954" w14:textId="0E8F11FF" w:rsidR="00FD54BF" w:rsidRPr="002041E7" w:rsidRDefault="009F211E">
      <w:pPr>
        <w:rPr>
          <w:rFonts w:ascii="Arial" w:hAnsi="Arial" w:cs="Arial"/>
          <w:lang w:val="en-GB"/>
        </w:rPr>
      </w:pPr>
      <w:r w:rsidRPr="002041E7">
        <w:rPr>
          <w:rFonts w:ascii="Arial" w:hAnsi="Arial" w:cs="Arial"/>
          <w:b/>
          <w:bCs/>
          <w:lang w:val="en-GB"/>
        </w:rPr>
        <w:t>GROUP:</w:t>
      </w:r>
      <w:r w:rsidRPr="002041E7">
        <w:rPr>
          <w:rFonts w:ascii="Arial" w:hAnsi="Arial" w:cs="Arial"/>
          <w:lang w:val="en-GB"/>
        </w:rPr>
        <w:t xml:space="preserve"> </w:t>
      </w:r>
    </w:p>
    <w:p w14:paraId="6B265228" w14:textId="686D141E" w:rsidR="007315B3" w:rsidRPr="002041E7" w:rsidRDefault="006325E8" w:rsidP="00FD54BF">
      <w:pPr>
        <w:pBdr>
          <w:top w:val="single" w:sz="4" w:space="1" w:color="auto"/>
          <w:left w:val="single" w:sz="4" w:space="4" w:color="auto"/>
          <w:bottom w:val="single" w:sz="4" w:space="1" w:color="auto"/>
          <w:right w:val="single" w:sz="4" w:space="4" w:color="auto"/>
        </w:pBdr>
        <w:rPr>
          <w:rFonts w:ascii="Arial" w:hAnsi="Arial" w:cs="Arial"/>
          <w:lang w:val="en-GB"/>
        </w:rPr>
      </w:pPr>
      <w:r>
        <w:rPr>
          <w:rFonts w:ascii="Arial" w:hAnsi="Arial" w:cs="Arial"/>
          <w:lang w:val="en-GB"/>
        </w:rPr>
        <w:t>Gaetano Gerace, PhD student</w:t>
      </w:r>
    </w:p>
    <w:p w14:paraId="2417F220" w14:textId="77777777" w:rsidR="00053C76" w:rsidRPr="002041E7" w:rsidRDefault="00053C76" w:rsidP="00053C76">
      <w:pPr>
        <w:rPr>
          <w:rFonts w:ascii="Arial" w:hAnsi="Arial" w:cs="Arial"/>
          <w:lang w:val="en-GB"/>
        </w:rPr>
      </w:pPr>
    </w:p>
    <w:p w14:paraId="59BDA3FB" w14:textId="089AC41F" w:rsidR="00053C76" w:rsidRPr="002041E7" w:rsidRDefault="00053C76" w:rsidP="00053C76">
      <w:pPr>
        <w:rPr>
          <w:rFonts w:ascii="Arial" w:hAnsi="Arial" w:cs="Arial"/>
          <w:b/>
          <w:bCs/>
          <w:lang w:val="en-GB"/>
        </w:rPr>
      </w:pPr>
      <w:r w:rsidRPr="002041E7">
        <w:rPr>
          <w:rFonts w:ascii="Arial" w:hAnsi="Arial" w:cs="Arial"/>
          <w:b/>
          <w:bCs/>
          <w:lang w:val="en-GB"/>
        </w:rPr>
        <w:t>RESEARCH FIELD</w:t>
      </w:r>
    </w:p>
    <w:p w14:paraId="730DE198" w14:textId="77777777" w:rsidR="00E633E0" w:rsidRPr="002041E7" w:rsidRDefault="00E633E0" w:rsidP="00E633E0">
      <w:pPr>
        <w:pBdr>
          <w:top w:val="single" w:sz="4" w:space="1" w:color="auto"/>
          <w:left w:val="single" w:sz="4" w:space="4" w:color="auto"/>
          <w:bottom w:val="single" w:sz="4" w:space="1" w:color="auto"/>
          <w:right w:val="single" w:sz="4" w:space="4" w:color="auto"/>
        </w:pBdr>
        <w:rPr>
          <w:rFonts w:ascii="Arial" w:hAnsi="Arial" w:cs="Arial"/>
          <w:lang w:val="en-GB"/>
        </w:rPr>
      </w:pPr>
      <w:r w:rsidRPr="00E633E0">
        <w:rPr>
          <w:rFonts w:ascii="Arial" w:hAnsi="Arial" w:cs="Arial"/>
          <w:lang w:val="en-GB"/>
        </w:rPr>
        <w:t>Study of the molecular biology of PARPs (</w:t>
      </w:r>
      <w:proofErr w:type="gramStart"/>
      <w:r w:rsidRPr="00E633E0">
        <w:rPr>
          <w:rFonts w:ascii="Arial" w:hAnsi="Arial" w:cs="Arial"/>
          <w:lang w:val="en-GB"/>
        </w:rPr>
        <w:t>poly[</w:t>
      </w:r>
      <w:proofErr w:type="gramEnd"/>
      <w:r w:rsidRPr="00E633E0">
        <w:rPr>
          <w:rFonts w:ascii="Arial" w:hAnsi="Arial" w:cs="Arial"/>
          <w:lang w:val="en-GB"/>
        </w:rPr>
        <w:t>ADP-ribose] polymerases) and their exploitation as targets in cancer therapy</w:t>
      </w:r>
    </w:p>
    <w:p w14:paraId="4D6ED6F7" w14:textId="77777777" w:rsidR="00D113ED" w:rsidRDefault="00D113ED" w:rsidP="00F877D5">
      <w:pPr>
        <w:rPr>
          <w:rFonts w:ascii="Arial" w:hAnsi="Arial" w:cs="Arial"/>
          <w:b/>
          <w:bCs/>
          <w:lang w:val="en-GB"/>
        </w:rPr>
      </w:pPr>
    </w:p>
    <w:p w14:paraId="31461A76" w14:textId="60A5A319" w:rsidR="00F877D5" w:rsidRPr="002041E7" w:rsidRDefault="00F877D5" w:rsidP="00F877D5">
      <w:pPr>
        <w:rPr>
          <w:rFonts w:ascii="Arial" w:hAnsi="Arial" w:cs="Arial"/>
          <w:lang w:val="en-GB"/>
        </w:rPr>
      </w:pPr>
      <w:r w:rsidRPr="002041E7">
        <w:rPr>
          <w:rFonts w:ascii="Arial" w:hAnsi="Arial" w:cs="Arial"/>
          <w:b/>
          <w:bCs/>
          <w:lang w:val="en-GB"/>
        </w:rPr>
        <w:t>KEYWORDS</w:t>
      </w:r>
      <w:r w:rsidRPr="002041E7">
        <w:rPr>
          <w:rFonts w:ascii="Arial" w:hAnsi="Arial" w:cs="Arial"/>
          <w:lang w:val="en-GB"/>
        </w:rPr>
        <w:t xml:space="preserve"> </w:t>
      </w:r>
    </w:p>
    <w:p w14:paraId="532A94C1" w14:textId="3F92E62C" w:rsidR="00F877D5" w:rsidRPr="002041E7" w:rsidRDefault="00720FF5" w:rsidP="00F877D5">
      <w:pPr>
        <w:pBdr>
          <w:top w:val="single" w:sz="4" w:space="1" w:color="auto"/>
          <w:left w:val="single" w:sz="4" w:space="4" w:color="auto"/>
          <w:bottom w:val="single" w:sz="4" w:space="1" w:color="auto"/>
          <w:right w:val="single" w:sz="4" w:space="4" w:color="auto"/>
        </w:pBdr>
        <w:rPr>
          <w:rFonts w:ascii="Arial" w:hAnsi="Arial" w:cs="Arial"/>
          <w:lang w:val="en-GB"/>
        </w:rPr>
      </w:pPr>
      <w:proofErr w:type="gramStart"/>
      <w:r w:rsidRPr="002041E7">
        <w:rPr>
          <w:rFonts w:ascii="Arial" w:hAnsi="Arial" w:cs="Arial"/>
          <w:lang w:val="en-GB"/>
        </w:rPr>
        <w:t>Poly(</w:t>
      </w:r>
      <w:proofErr w:type="gramEnd"/>
      <w:r w:rsidRPr="002041E7">
        <w:rPr>
          <w:rFonts w:ascii="Arial" w:hAnsi="Arial" w:cs="Arial"/>
          <w:lang w:val="en-GB"/>
        </w:rPr>
        <w:t>ADP-ribose) polymerases; DNA repair; ADP-ribosylation; post-translational modifications; Cancer Biology and Treatment</w:t>
      </w:r>
      <w:r w:rsidR="00131F72">
        <w:rPr>
          <w:rFonts w:ascii="Arial" w:hAnsi="Arial" w:cs="Arial"/>
          <w:lang w:val="en-GB"/>
        </w:rPr>
        <w:t>.</w:t>
      </w:r>
    </w:p>
    <w:p w14:paraId="68F83D14" w14:textId="77777777" w:rsidR="00FD54BF" w:rsidRPr="002041E7" w:rsidRDefault="00FD54BF">
      <w:pPr>
        <w:rPr>
          <w:rFonts w:ascii="Arial" w:hAnsi="Arial" w:cs="Arial"/>
          <w:lang w:val="en-GB"/>
        </w:rPr>
      </w:pPr>
    </w:p>
    <w:p w14:paraId="3BBC079D" w14:textId="4A31FD50" w:rsidR="00FD54BF" w:rsidRPr="002041E7" w:rsidRDefault="00FD54BF">
      <w:pPr>
        <w:rPr>
          <w:rFonts w:ascii="Arial" w:hAnsi="Arial" w:cs="Arial"/>
          <w:lang w:val="en-GB"/>
        </w:rPr>
      </w:pPr>
      <w:r w:rsidRPr="002041E7">
        <w:rPr>
          <w:rFonts w:ascii="Arial" w:hAnsi="Arial" w:cs="Arial"/>
          <w:b/>
          <w:bCs/>
          <w:lang w:val="en-GB"/>
        </w:rPr>
        <w:t>ABSTRACT</w:t>
      </w:r>
      <w:r w:rsidRPr="002041E7">
        <w:rPr>
          <w:rFonts w:ascii="Arial" w:hAnsi="Arial" w:cs="Arial"/>
          <w:lang w:val="en-GB"/>
        </w:rPr>
        <w:t xml:space="preserve"> </w:t>
      </w:r>
    </w:p>
    <w:p w14:paraId="42856BBE" w14:textId="1259F87E" w:rsidR="00B119AA" w:rsidRPr="00B119AA" w:rsidRDefault="00B119AA" w:rsidP="00B119AA">
      <w:pPr>
        <w:pBdr>
          <w:top w:val="single" w:sz="4" w:space="1" w:color="auto"/>
          <w:left w:val="single" w:sz="4" w:space="4" w:color="auto"/>
          <w:bottom w:val="single" w:sz="4" w:space="1" w:color="auto"/>
          <w:right w:val="single" w:sz="4" w:space="4" w:color="auto"/>
        </w:pBdr>
        <w:rPr>
          <w:rFonts w:ascii="Arial" w:hAnsi="Arial" w:cs="Arial"/>
          <w:lang w:val="en-GB"/>
        </w:rPr>
      </w:pPr>
      <w:r w:rsidRPr="00B119AA">
        <w:rPr>
          <w:rFonts w:ascii="Arial" w:hAnsi="Arial" w:cs="Arial"/>
          <w:lang w:val="en-GB"/>
        </w:rPr>
        <w:t xml:space="preserve">Every day, our cells are exposed to factors that damage their DNA—ranging from natural byproducts of cellular activity to environmental sources like UV light and chemicals. To prevent harmful mutations and maintain genomic stability, cells rely on an intricate system called the </w:t>
      </w:r>
      <w:r w:rsidRPr="00963B76">
        <w:rPr>
          <w:rFonts w:ascii="Arial" w:hAnsi="Arial" w:cs="Arial"/>
          <w:b/>
          <w:bCs/>
          <w:lang w:val="en-GB"/>
        </w:rPr>
        <w:t>DNA damage response (DDR)</w:t>
      </w:r>
      <w:r w:rsidRPr="00B119AA">
        <w:rPr>
          <w:rFonts w:ascii="Arial" w:hAnsi="Arial" w:cs="Arial"/>
          <w:lang w:val="en-GB"/>
        </w:rPr>
        <w:t xml:space="preserve">. This biological “emergency repair crew” detects breaks in DNA and activates the </w:t>
      </w:r>
      <w:r w:rsidR="005A6904">
        <w:rPr>
          <w:rFonts w:ascii="Arial" w:hAnsi="Arial" w:cs="Arial"/>
          <w:lang w:val="en-GB"/>
        </w:rPr>
        <w:t>necessary</w:t>
      </w:r>
      <w:r w:rsidRPr="00B119AA">
        <w:rPr>
          <w:rFonts w:ascii="Arial" w:hAnsi="Arial" w:cs="Arial"/>
          <w:lang w:val="en-GB"/>
        </w:rPr>
        <w:t xml:space="preserve"> </w:t>
      </w:r>
      <w:r w:rsidR="005A6904">
        <w:rPr>
          <w:rFonts w:ascii="Arial" w:hAnsi="Arial" w:cs="Arial"/>
          <w:lang w:val="en-GB"/>
        </w:rPr>
        <w:t>tools</w:t>
      </w:r>
      <w:r w:rsidRPr="00B119AA">
        <w:rPr>
          <w:rFonts w:ascii="Arial" w:hAnsi="Arial" w:cs="Arial"/>
          <w:lang w:val="en-GB"/>
        </w:rPr>
        <w:t xml:space="preserve"> to </w:t>
      </w:r>
      <w:r w:rsidR="005A6904">
        <w:rPr>
          <w:rFonts w:ascii="Arial" w:hAnsi="Arial" w:cs="Arial"/>
          <w:lang w:val="en-GB"/>
        </w:rPr>
        <w:t>repair</w:t>
      </w:r>
      <w:r w:rsidRPr="00B119AA">
        <w:rPr>
          <w:rFonts w:ascii="Arial" w:hAnsi="Arial" w:cs="Arial"/>
          <w:lang w:val="en-GB"/>
        </w:rPr>
        <w:t xml:space="preserve"> them.</w:t>
      </w:r>
    </w:p>
    <w:p w14:paraId="13833BC2" w14:textId="77777777" w:rsidR="00B119AA" w:rsidRPr="00B119AA" w:rsidRDefault="00B119AA" w:rsidP="00B119AA">
      <w:pPr>
        <w:pBdr>
          <w:top w:val="single" w:sz="4" w:space="1" w:color="auto"/>
          <w:left w:val="single" w:sz="4" w:space="4" w:color="auto"/>
          <w:bottom w:val="single" w:sz="4" w:space="1" w:color="auto"/>
          <w:right w:val="single" w:sz="4" w:space="4" w:color="auto"/>
        </w:pBdr>
        <w:rPr>
          <w:rFonts w:ascii="Arial" w:hAnsi="Arial" w:cs="Arial"/>
          <w:lang w:val="en-GB"/>
        </w:rPr>
      </w:pPr>
    </w:p>
    <w:p w14:paraId="2C982BE3" w14:textId="77777777" w:rsidR="00B119AA" w:rsidRPr="00B119AA" w:rsidRDefault="00B119AA" w:rsidP="00B119AA">
      <w:pPr>
        <w:pBdr>
          <w:top w:val="single" w:sz="4" w:space="1" w:color="auto"/>
          <w:left w:val="single" w:sz="4" w:space="4" w:color="auto"/>
          <w:bottom w:val="single" w:sz="4" w:space="1" w:color="auto"/>
          <w:right w:val="single" w:sz="4" w:space="4" w:color="auto"/>
        </w:pBdr>
        <w:rPr>
          <w:rFonts w:ascii="Arial" w:hAnsi="Arial" w:cs="Arial"/>
          <w:lang w:val="en-GB"/>
        </w:rPr>
      </w:pPr>
      <w:r w:rsidRPr="00B119AA">
        <w:rPr>
          <w:rFonts w:ascii="Arial" w:hAnsi="Arial" w:cs="Arial"/>
          <w:lang w:val="en-GB"/>
        </w:rPr>
        <w:t xml:space="preserve">Among the many components of this system are </w:t>
      </w:r>
      <w:r w:rsidRPr="00963B76">
        <w:rPr>
          <w:rFonts w:ascii="Arial" w:hAnsi="Arial" w:cs="Arial"/>
          <w:b/>
          <w:bCs/>
          <w:lang w:val="en-GB"/>
        </w:rPr>
        <w:t>PARPs</w:t>
      </w:r>
      <w:r w:rsidRPr="00B119AA">
        <w:rPr>
          <w:rFonts w:ascii="Arial" w:hAnsi="Arial" w:cs="Arial"/>
          <w:lang w:val="en-GB"/>
        </w:rPr>
        <w:t xml:space="preserve"> (</w:t>
      </w:r>
      <w:proofErr w:type="gramStart"/>
      <w:r w:rsidRPr="00B119AA">
        <w:rPr>
          <w:rFonts w:ascii="Arial" w:hAnsi="Arial" w:cs="Arial"/>
          <w:lang w:val="en-GB"/>
        </w:rPr>
        <w:t>poly[</w:t>
      </w:r>
      <w:proofErr w:type="gramEnd"/>
      <w:r w:rsidRPr="00B119AA">
        <w:rPr>
          <w:rFonts w:ascii="Arial" w:hAnsi="Arial" w:cs="Arial"/>
          <w:lang w:val="en-GB"/>
        </w:rPr>
        <w:t xml:space="preserve">ADP-ribose] polymerases), especially </w:t>
      </w:r>
      <w:r w:rsidRPr="00963B76">
        <w:rPr>
          <w:rFonts w:ascii="Arial" w:hAnsi="Arial" w:cs="Arial"/>
          <w:b/>
          <w:bCs/>
          <w:lang w:val="en-GB"/>
        </w:rPr>
        <w:t>PARP1 and PARP2</w:t>
      </w:r>
      <w:r w:rsidRPr="00B119AA">
        <w:rPr>
          <w:rFonts w:ascii="Arial" w:hAnsi="Arial" w:cs="Arial"/>
          <w:lang w:val="en-GB"/>
        </w:rPr>
        <w:t xml:space="preserve">, which are involved in specific DNA repair pathways. These enzymes act as first responders to certain types of DNA damage, catalysing a chemical signalling process called </w:t>
      </w:r>
      <w:r w:rsidRPr="00963B76">
        <w:rPr>
          <w:rFonts w:ascii="Arial" w:hAnsi="Arial" w:cs="Arial"/>
          <w:b/>
          <w:bCs/>
          <w:lang w:val="en-GB"/>
        </w:rPr>
        <w:t>ADP-ribosylation</w:t>
      </w:r>
      <w:r w:rsidRPr="00B119AA">
        <w:rPr>
          <w:rFonts w:ascii="Arial" w:hAnsi="Arial" w:cs="Arial"/>
          <w:lang w:val="en-GB"/>
        </w:rPr>
        <w:t>. This modification marks damaged sites and helps recruit the molecular machinery required for repair.</w:t>
      </w:r>
    </w:p>
    <w:p w14:paraId="64D875F5" w14:textId="77777777" w:rsidR="00B119AA" w:rsidRPr="00B119AA" w:rsidRDefault="00B119AA" w:rsidP="00B119AA">
      <w:pPr>
        <w:pBdr>
          <w:top w:val="single" w:sz="4" w:space="1" w:color="auto"/>
          <w:left w:val="single" w:sz="4" w:space="4" w:color="auto"/>
          <w:bottom w:val="single" w:sz="4" w:space="1" w:color="auto"/>
          <w:right w:val="single" w:sz="4" w:space="4" w:color="auto"/>
        </w:pBdr>
        <w:rPr>
          <w:rFonts w:ascii="Arial" w:hAnsi="Arial" w:cs="Arial"/>
          <w:lang w:val="en-GB"/>
        </w:rPr>
      </w:pPr>
    </w:p>
    <w:p w14:paraId="19699B76" w14:textId="3FBF0D9F" w:rsidR="00963B76" w:rsidRPr="00963B76" w:rsidRDefault="00B119AA" w:rsidP="00963B76">
      <w:pPr>
        <w:pBdr>
          <w:top w:val="single" w:sz="4" w:space="1" w:color="auto"/>
          <w:left w:val="single" w:sz="4" w:space="4" w:color="auto"/>
          <w:bottom w:val="single" w:sz="4" w:space="1" w:color="auto"/>
          <w:right w:val="single" w:sz="4" w:space="4" w:color="auto"/>
        </w:pBdr>
        <w:rPr>
          <w:rFonts w:ascii="Arial" w:hAnsi="Arial" w:cs="Arial"/>
          <w:lang w:val="en-GB"/>
        </w:rPr>
      </w:pPr>
      <w:r w:rsidRPr="00B119AA">
        <w:rPr>
          <w:rFonts w:ascii="Arial" w:hAnsi="Arial" w:cs="Arial"/>
          <w:lang w:val="en-GB"/>
        </w:rPr>
        <w:t>Our research has played a central role in reshaping how scientists understand this process</w:t>
      </w:r>
      <w:r w:rsidR="00963B76">
        <w:rPr>
          <w:rFonts w:ascii="Arial" w:hAnsi="Arial" w:cs="Arial"/>
          <w:lang w:val="en-GB"/>
        </w:rPr>
        <w:t xml:space="preserve">. </w:t>
      </w:r>
      <w:r w:rsidR="00963B76" w:rsidRPr="00963B76">
        <w:rPr>
          <w:rFonts w:ascii="Arial" w:hAnsi="Arial" w:cs="Arial"/>
          <w:lang w:val="en-GB"/>
        </w:rPr>
        <w:t xml:space="preserve">We discovered that a protein called </w:t>
      </w:r>
      <w:r w:rsidR="00963B76" w:rsidRPr="00963B76">
        <w:rPr>
          <w:rFonts w:ascii="Arial" w:hAnsi="Arial" w:cs="Arial"/>
          <w:b/>
          <w:bCs/>
          <w:lang w:val="en-GB"/>
        </w:rPr>
        <w:t xml:space="preserve">HPF1 (Histone </w:t>
      </w:r>
      <w:proofErr w:type="spellStart"/>
      <w:r w:rsidR="00963B76" w:rsidRPr="00963B76">
        <w:rPr>
          <w:rFonts w:ascii="Arial" w:hAnsi="Arial" w:cs="Arial"/>
          <w:b/>
          <w:bCs/>
          <w:lang w:val="en-GB"/>
        </w:rPr>
        <w:t>PARylation</w:t>
      </w:r>
      <w:proofErr w:type="spellEnd"/>
      <w:r w:rsidR="00963B76" w:rsidRPr="00963B76">
        <w:rPr>
          <w:rFonts w:ascii="Arial" w:hAnsi="Arial" w:cs="Arial"/>
          <w:b/>
          <w:bCs/>
          <w:lang w:val="en-GB"/>
        </w:rPr>
        <w:t xml:space="preserve"> Factor 1)</w:t>
      </w:r>
      <w:r w:rsidR="00963B76" w:rsidRPr="00963B76">
        <w:rPr>
          <w:rFonts w:ascii="Arial" w:hAnsi="Arial" w:cs="Arial"/>
          <w:lang w:val="en-GB"/>
        </w:rPr>
        <w:t xml:space="preserve"> partners with PARP1 and PARP2 to dramatically change </w:t>
      </w:r>
      <w:r w:rsidR="005A6904">
        <w:rPr>
          <w:rFonts w:ascii="Arial" w:hAnsi="Arial" w:cs="Arial"/>
          <w:lang w:val="en-GB"/>
        </w:rPr>
        <w:t>the way</w:t>
      </w:r>
      <w:r w:rsidR="00963B76" w:rsidRPr="00963B76">
        <w:rPr>
          <w:rFonts w:ascii="Arial" w:hAnsi="Arial" w:cs="Arial"/>
          <w:lang w:val="en-GB"/>
        </w:rPr>
        <w:t xml:space="preserve"> </w:t>
      </w:r>
      <w:r w:rsidR="005A6904">
        <w:rPr>
          <w:rFonts w:ascii="Arial" w:hAnsi="Arial" w:cs="Arial"/>
          <w:lang w:val="en-GB"/>
        </w:rPr>
        <w:t xml:space="preserve">they </w:t>
      </w:r>
      <w:r w:rsidR="00963B76" w:rsidRPr="00963B76">
        <w:rPr>
          <w:rFonts w:ascii="Arial" w:hAnsi="Arial" w:cs="Arial"/>
          <w:lang w:val="en-GB"/>
        </w:rPr>
        <w:t xml:space="preserve">function. Together, </w:t>
      </w:r>
      <w:r w:rsidR="005A6904">
        <w:rPr>
          <w:rFonts w:ascii="Arial" w:hAnsi="Arial" w:cs="Arial"/>
          <w:lang w:val="en-GB"/>
        </w:rPr>
        <w:t>PARP1 and PARP2, in complex with HPF1,</w:t>
      </w:r>
      <w:r w:rsidR="00963B76" w:rsidRPr="00963B76">
        <w:rPr>
          <w:rFonts w:ascii="Arial" w:hAnsi="Arial" w:cs="Arial"/>
          <w:lang w:val="en-GB"/>
        </w:rPr>
        <w:t xml:space="preserve"> modify specific sites on proteins</w:t>
      </w:r>
      <w:r w:rsidR="005A6904">
        <w:rPr>
          <w:rFonts w:ascii="Arial" w:hAnsi="Arial" w:cs="Arial"/>
          <w:lang w:val="en-GB"/>
        </w:rPr>
        <w:t xml:space="preserve">, </w:t>
      </w:r>
      <w:r w:rsidR="00963B76" w:rsidRPr="00963B76">
        <w:rPr>
          <w:rFonts w:ascii="Arial" w:hAnsi="Arial" w:cs="Arial"/>
          <w:lang w:val="en-GB"/>
        </w:rPr>
        <w:t xml:space="preserve">particularly </w:t>
      </w:r>
      <w:r w:rsidR="00963B76" w:rsidRPr="00963B76">
        <w:rPr>
          <w:rFonts w:ascii="Arial" w:hAnsi="Arial" w:cs="Arial"/>
          <w:b/>
          <w:bCs/>
          <w:lang w:val="en-GB"/>
        </w:rPr>
        <w:t>serine residues on histones</w:t>
      </w:r>
      <w:r w:rsidR="00963B76" w:rsidRPr="00963B76">
        <w:rPr>
          <w:rFonts w:ascii="Arial" w:hAnsi="Arial" w:cs="Arial"/>
          <w:lang w:val="en-GB"/>
        </w:rPr>
        <w:t xml:space="preserve"> </w:t>
      </w:r>
      <w:r w:rsidR="005A6904">
        <w:rPr>
          <w:rFonts w:ascii="Arial" w:hAnsi="Arial" w:cs="Arial"/>
          <w:lang w:val="en-GB"/>
        </w:rPr>
        <w:t>—</w:t>
      </w:r>
      <w:r w:rsidR="00963B76" w:rsidRPr="00963B76">
        <w:rPr>
          <w:rFonts w:ascii="Arial" w:hAnsi="Arial" w:cs="Arial"/>
          <w:lang w:val="en-GB"/>
        </w:rPr>
        <w:t>the proteins that help package DNA. This finding challenged the long-standing view that PARPs mainly targeted other amino acids, revealing a new layer of regulation in how cells respond to DNA damage.</w:t>
      </w:r>
    </w:p>
    <w:p w14:paraId="037DC67A" w14:textId="77777777" w:rsidR="00963B76" w:rsidRPr="00963B76" w:rsidRDefault="00963B76" w:rsidP="00963B76">
      <w:pPr>
        <w:pBdr>
          <w:top w:val="single" w:sz="4" w:space="1" w:color="auto"/>
          <w:left w:val="single" w:sz="4" w:space="4" w:color="auto"/>
          <w:bottom w:val="single" w:sz="4" w:space="1" w:color="auto"/>
          <w:right w:val="single" w:sz="4" w:space="4" w:color="auto"/>
        </w:pBdr>
        <w:rPr>
          <w:rFonts w:ascii="Arial" w:hAnsi="Arial" w:cs="Arial"/>
          <w:lang w:val="en-GB"/>
        </w:rPr>
      </w:pPr>
    </w:p>
    <w:p w14:paraId="0B33EA2D" w14:textId="3C870948" w:rsidR="00963B76" w:rsidRPr="00963B76" w:rsidRDefault="00963B76" w:rsidP="00963B76">
      <w:pPr>
        <w:pBdr>
          <w:top w:val="single" w:sz="4" w:space="1" w:color="auto"/>
          <w:left w:val="single" w:sz="4" w:space="4" w:color="auto"/>
          <w:bottom w:val="single" w:sz="4" w:space="1" w:color="auto"/>
          <w:right w:val="single" w:sz="4" w:space="4" w:color="auto"/>
        </w:pBdr>
        <w:rPr>
          <w:rFonts w:ascii="Arial" w:hAnsi="Arial" w:cs="Arial"/>
          <w:lang w:val="en-GB"/>
        </w:rPr>
      </w:pPr>
      <w:r w:rsidRPr="00963B76">
        <w:rPr>
          <w:rFonts w:ascii="Arial" w:hAnsi="Arial" w:cs="Arial"/>
          <w:lang w:val="en-GB"/>
        </w:rPr>
        <w:t xml:space="preserve">But repairing DNA is not just about turning signals on—it’s also about turning them off at the right time. That’s why we also study enzymes like </w:t>
      </w:r>
      <w:r w:rsidRPr="00963B76">
        <w:rPr>
          <w:rFonts w:ascii="Arial" w:hAnsi="Arial" w:cs="Arial"/>
          <w:b/>
          <w:bCs/>
          <w:lang w:val="en-GB"/>
        </w:rPr>
        <w:t>PARG and ARH3</w:t>
      </w:r>
      <w:r w:rsidRPr="00963B76">
        <w:rPr>
          <w:rFonts w:ascii="Arial" w:hAnsi="Arial" w:cs="Arial"/>
          <w:lang w:val="en-GB"/>
        </w:rPr>
        <w:t>, which remove ADP-ribose modifications. Rather than being passive cleanup molecules, we’ve shown that these enzymes actively control how long and how strongly DNA repair signals persist</w:t>
      </w:r>
      <w:r w:rsidR="001B1AD6">
        <w:rPr>
          <w:rFonts w:ascii="Arial" w:hAnsi="Arial" w:cs="Arial"/>
          <w:lang w:val="en-GB"/>
        </w:rPr>
        <w:t xml:space="preserve">, </w:t>
      </w:r>
      <w:r w:rsidRPr="00963B76">
        <w:rPr>
          <w:rFonts w:ascii="Arial" w:hAnsi="Arial" w:cs="Arial"/>
          <w:lang w:val="en-GB"/>
        </w:rPr>
        <w:t>shaping the outcome of the repair process.</w:t>
      </w:r>
    </w:p>
    <w:p w14:paraId="61AB6822" w14:textId="77777777" w:rsidR="00963B76" w:rsidRPr="00963B76" w:rsidRDefault="00963B76" w:rsidP="00963B76">
      <w:pPr>
        <w:pBdr>
          <w:top w:val="single" w:sz="4" w:space="1" w:color="auto"/>
          <w:left w:val="single" w:sz="4" w:space="4" w:color="auto"/>
          <w:bottom w:val="single" w:sz="4" w:space="1" w:color="auto"/>
          <w:right w:val="single" w:sz="4" w:space="4" w:color="auto"/>
        </w:pBdr>
        <w:rPr>
          <w:rFonts w:ascii="Arial" w:hAnsi="Arial" w:cs="Arial"/>
          <w:lang w:val="en-GB"/>
        </w:rPr>
      </w:pPr>
    </w:p>
    <w:p w14:paraId="07C6CB81" w14:textId="2481E04E" w:rsidR="00963B76" w:rsidRPr="00963B76" w:rsidRDefault="00963B76" w:rsidP="00963B76">
      <w:pPr>
        <w:pBdr>
          <w:top w:val="single" w:sz="4" w:space="1" w:color="auto"/>
          <w:left w:val="single" w:sz="4" w:space="4" w:color="auto"/>
          <w:bottom w:val="single" w:sz="4" w:space="1" w:color="auto"/>
          <w:right w:val="single" w:sz="4" w:space="4" w:color="auto"/>
        </w:pBdr>
        <w:rPr>
          <w:rFonts w:ascii="Arial" w:hAnsi="Arial" w:cs="Arial"/>
          <w:lang w:val="en-GB"/>
        </w:rPr>
      </w:pPr>
      <w:r w:rsidRPr="00963B76">
        <w:rPr>
          <w:rFonts w:ascii="Arial" w:hAnsi="Arial" w:cs="Arial"/>
          <w:lang w:val="en-GB"/>
        </w:rPr>
        <w:t xml:space="preserve">Building on this foundation, our current work focuses on how this network of PARPs, cofactors, and hydrolases affects cancer biology. </w:t>
      </w:r>
      <w:r w:rsidRPr="00963B76">
        <w:rPr>
          <w:rFonts w:ascii="Arial" w:hAnsi="Arial" w:cs="Arial"/>
          <w:b/>
          <w:bCs/>
          <w:lang w:val="en-GB"/>
        </w:rPr>
        <w:t>PARP inhibitors (</w:t>
      </w:r>
      <w:proofErr w:type="spellStart"/>
      <w:r w:rsidRPr="00963B76">
        <w:rPr>
          <w:rFonts w:ascii="Arial" w:hAnsi="Arial" w:cs="Arial"/>
          <w:b/>
          <w:bCs/>
          <w:lang w:val="en-GB"/>
        </w:rPr>
        <w:t>PARPi</w:t>
      </w:r>
      <w:proofErr w:type="spellEnd"/>
      <w:r w:rsidRPr="00963B76">
        <w:rPr>
          <w:rFonts w:ascii="Arial" w:hAnsi="Arial" w:cs="Arial"/>
          <w:b/>
          <w:bCs/>
          <w:lang w:val="en-GB"/>
        </w:rPr>
        <w:t>)</w:t>
      </w:r>
      <w:r w:rsidRPr="00963B76">
        <w:rPr>
          <w:rFonts w:ascii="Arial" w:hAnsi="Arial" w:cs="Arial"/>
          <w:lang w:val="en-GB"/>
        </w:rPr>
        <w:t xml:space="preserve"> are a </w:t>
      </w:r>
      <w:r w:rsidR="001B1AD6">
        <w:rPr>
          <w:rFonts w:ascii="Arial" w:hAnsi="Arial" w:cs="Arial"/>
          <w:lang w:val="en-GB"/>
        </w:rPr>
        <w:t>groundbreaking</w:t>
      </w:r>
      <w:r w:rsidRPr="00963B76">
        <w:rPr>
          <w:rFonts w:ascii="Arial" w:hAnsi="Arial" w:cs="Arial"/>
          <w:lang w:val="en-GB"/>
        </w:rPr>
        <w:t xml:space="preserve"> class of drugs used to treat cancers with defective DNA repair systems, such as those involving </w:t>
      </w:r>
      <w:r w:rsidRPr="00963B76">
        <w:rPr>
          <w:rFonts w:ascii="Arial" w:hAnsi="Arial" w:cs="Arial"/>
          <w:b/>
          <w:bCs/>
          <w:i/>
          <w:iCs/>
          <w:lang w:val="en-GB"/>
        </w:rPr>
        <w:t>BRCA1</w:t>
      </w:r>
      <w:r w:rsidR="001B1AD6">
        <w:rPr>
          <w:rFonts w:ascii="Arial" w:hAnsi="Arial" w:cs="Arial"/>
          <w:b/>
          <w:bCs/>
          <w:i/>
          <w:iCs/>
          <w:lang w:val="en-GB"/>
        </w:rPr>
        <w:t xml:space="preserve"> or BRCA</w:t>
      </w:r>
      <w:r w:rsidRPr="00963B76">
        <w:rPr>
          <w:rFonts w:ascii="Arial" w:hAnsi="Arial" w:cs="Arial"/>
          <w:b/>
          <w:bCs/>
          <w:i/>
          <w:iCs/>
          <w:lang w:val="en-GB"/>
        </w:rPr>
        <w:t>2</w:t>
      </w:r>
      <w:r w:rsidRPr="00963B76">
        <w:rPr>
          <w:rFonts w:ascii="Arial" w:hAnsi="Arial" w:cs="Arial"/>
          <w:b/>
          <w:bCs/>
          <w:lang w:val="en-GB"/>
        </w:rPr>
        <w:t xml:space="preserve"> mutations</w:t>
      </w:r>
      <w:r w:rsidRPr="00963B76">
        <w:rPr>
          <w:rFonts w:ascii="Arial" w:hAnsi="Arial" w:cs="Arial"/>
          <w:lang w:val="en-GB"/>
        </w:rPr>
        <w:t>. However, not all patients respond the same way. We are investigating how subtle changes in the ADP-ribosylation machinery may explain why some tumours become resistant</w:t>
      </w:r>
      <w:r w:rsidR="001B1AD6">
        <w:rPr>
          <w:rFonts w:ascii="Arial" w:hAnsi="Arial" w:cs="Arial"/>
          <w:lang w:val="en-GB"/>
        </w:rPr>
        <w:t xml:space="preserve">, </w:t>
      </w:r>
      <w:r w:rsidRPr="00963B76">
        <w:rPr>
          <w:rFonts w:ascii="Arial" w:hAnsi="Arial" w:cs="Arial"/>
          <w:lang w:val="en-GB"/>
        </w:rPr>
        <w:t>and how we might overcome that.</w:t>
      </w:r>
    </w:p>
    <w:p w14:paraId="7079BD99" w14:textId="77777777" w:rsidR="00963B76" w:rsidRPr="00963B76" w:rsidRDefault="00963B76" w:rsidP="00963B76">
      <w:pPr>
        <w:pBdr>
          <w:top w:val="single" w:sz="4" w:space="1" w:color="auto"/>
          <w:left w:val="single" w:sz="4" w:space="4" w:color="auto"/>
          <w:bottom w:val="single" w:sz="4" w:space="1" w:color="auto"/>
          <w:right w:val="single" w:sz="4" w:space="4" w:color="auto"/>
        </w:pBdr>
        <w:rPr>
          <w:rFonts w:ascii="Arial" w:hAnsi="Arial" w:cs="Arial"/>
          <w:lang w:val="en-GB"/>
        </w:rPr>
      </w:pPr>
    </w:p>
    <w:p w14:paraId="096B7718" w14:textId="77777777" w:rsidR="00963B76" w:rsidRPr="00963B76" w:rsidRDefault="00963B76" w:rsidP="00963B76">
      <w:pPr>
        <w:pBdr>
          <w:top w:val="single" w:sz="4" w:space="1" w:color="auto"/>
          <w:left w:val="single" w:sz="4" w:space="4" w:color="auto"/>
          <w:bottom w:val="single" w:sz="4" w:space="1" w:color="auto"/>
          <w:right w:val="single" w:sz="4" w:space="4" w:color="auto"/>
        </w:pBdr>
        <w:rPr>
          <w:rFonts w:ascii="Arial" w:hAnsi="Arial" w:cs="Arial"/>
          <w:lang w:val="en-GB"/>
        </w:rPr>
      </w:pPr>
      <w:r w:rsidRPr="00963B76">
        <w:rPr>
          <w:rFonts w:ascii="Arial" w:hAnsi="Arial" w:cs="Arial"/>
          <w:lang w:val="en-GB"/>
        </w:rPr>
        <w:lastRenderedPageBreak/>
        <w:t xml:space="preserve">In a newer direction, we are also exploring the connection between ADP-ribosylation and the </w:t>
      </w:r>
      <w:r w:rsidRPr="00963B76">
        <w:rPr>
          <w:rFonts w:ascii="Arial" w:hAnsi="Arial" w:cs="Arial"/>
          <w:b/>
          <w:bCs/>
          <w:lang w:val="en-GB"/>
        </w:rPr>
        <w:t>ubiquitin–proteasome system</w:t>
      </w:r>
      <w:r w:rsidRPr="00963B76">
        <w:rPr>
          <w:rFonts w:ascii="Arial" w:hAnsi="Arial" w:cs="Arial"/>
          <w:lang w:val="en-GB"/>
        </w:rPr>
        <w:t xml:space="preserve">, which controls protein degradation in cells. Early evidence suggests these two systems might “talk” to each other, influencing how repair proteins are stabilised or removed. This </w:t>
      </w:r>
      <w:proofErr w:type="gramStart"/>
      <w:r w:rsidRPr="00963B76">
        <w:rPr>
          <w:rFonts w:ascii="Arial" w:hAnsi="Arial" w:cs="Arial"/>
          <w:lang w:val="en-GB"/>
        </w:rPr>
        <w:t>opens up</w:t>
      </w:r>
      <w:proofErr w:type="gramEnd"/>
      <w:r w:rsidRPr="00963B76">
        <w:rPr>
          <w:rFonts w:ascii="Arial" w:hAnsi="Arial" w:cs="Arial"/>
          <w:lang w:val="en-GB"/>
        </w:rPr>
        <w:t xml:space="preserve"> exciting new possibilities for combination therapies that could make cancer treatments more effective.</w:t>
      </w:r>
    </w:p>
    <w:p w14:paraId="7AC48565" w14:textId="77777777" w:rsidR="00963B76" w:rsidRPr="00963B76" w:rsidRDefault="00963B76" w:rsidP="00963B76">
      <w:pPr>
        <w:pBdr>
          <w:top w:val="single" w:sz="4" w:space="1" w:color="auto"/>
          <w:left w:val="single" w:sz="4" w:space="4" w:color="auto"/>
          <w:bottom w:val="single" w:sz="4" w:space="1" w:color="auto"/>
          <w:right w:val="single" w:sz="4" w:space="4" w:color="auto"/>
        </w:pBdr>
        <w:rPr>
          <w:rFonts w:ascii="Arial" w:hAnsi="Arial" w:cs="Arial"/>
          <w:lang w:val="en-GB"/>
        </w:rPr>
      </w:pPr>
    </w:p>
    <w:p w14:paraId="6EEA10EB" w14:textId="7F2AF11B" w:rsidR="00B540B1" w:rsidRPr="002041E7" w:rsidRDefault="00963B76"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963B76">
        <w:rPr>
          <w:rFonts w:ascii="Arial" w:hAnsi="Arial" w:cs="Arial"/>
          <w:lang w:val="en-GB"/>
        </w:rPr>
        <w:t xml:space="preserve">Ultimately, our goal is to translate these molecular insights into strategies that improve </w:t>
      </w:r>
      <w:r w:rsidRPr="00963B76">
        <w:rPr>
          <w:rFonts w:ascii="Arial" w:hAnsi="Arial" w:cs="Arial"/>
          <w:b/>
          <w:bCs/>
          <w:lang w:val="en-GB"/>
        </w:rPr>
        <w:t>cancer diagnostics, treatment, and patient outcomes</w:t>
      </w:r>
      <w:r w:rsidRPr="00963B76">
        <w:rPr>
          <w:rFonts w:ascii="Arial" w:hAnsi="Arial" w:cs="Arial"/>
          <w:lang w:val="en-GB"/>
        </w:rPr>
        <w:t>. At the same time, we aim to deepen our fundamental understanding of how cells maintain genome integrity—knowledge that could benefit many areas of medicine and biotechnology.</w:t>
      </w:r>
    </w:p>
    <w:p w14:paraId="65D046DC" w14:textId="77777777" w:rsidR="00FD54BF" w:rsidRPr="002041E7" w:rsidRDefault="00FD54BF">
      <w:pPr>
        <w:rPr>
          <w:rFonts w:ascii="Arial" w:hAnsi="Arial" w:cs="Arial"/>
          <w:lang w:val="en-GB"/>
        </w:rPr>
      </w:pPr>
    </w:p>
    <w:p w14:paraId="2F42934F" w14:textId="264BE946" w:rsidR="00FD54BF" w:rsidRPr="002041E7" w:rsidRDefault="009F211E">
      <w:pPr>
        <w:rPr>
          <w:rFonts w:ascii="Arial" w:hAnsi="Arial" w:cs="Arial"/>
          <w:lang w:val="en-GB"/>
        </w:rPr>
      </w:pPr>
      <w:r w:rsidRPr="002041E7">
        <w:rPr>
          <w:rFonts w:ascii="Arial" w:hAnsi="Arial" w:cs="Arial"/>
          <w:b/>
          <w:bCs/>
          <w:lang w:val="en-GB"/>
        </w:rPr>
        <w:t>PUBLICATIONS</w:t>
      </w:r>
      <w:r w:rsidR="00FD54BF" w:rsidRPr="002041E7">
        <w:rPr>
          <w:rFonts w:ascii="Arial" w:hAnsi="Arial" w:cs="Arial"/>
          <w:lang w:val="en-GB"/>
        </w:rPr>
        <w:t xml:space="preserve"> (</w:t>
      </w:r>
      <w:r w:rsidR="00D113ED">
        <w:rPr>
          <w:rFonts w:ascii="Arial" w:hAnsi="Arial" w:cs="Arial"/>
          <w:lang w:val="en-GB"/>
        </w:rPr>
        <w:t>only</w:t>
      </w:r>
      <w:r w:rsidR="00FD54BF" w:rsidRPr="002041E7">
        <w:rPr>
          <w:rFonts w:ascii="Arial" w:hAnsi="Arial" w:cs="Arial"/>
          <w:lang w:val="en-GB"/>
        </w:rPr>
        <w:t xml:space="preserve"> 5 </w:t>
      </w:r>
      <w:r w:rsidR="00D113ED">
        <w:rPr>
          <w:rFonts w:ascii="Arial" w:hAnsi="Arial" w:cs="Arial"/>
          <w:lang w:val="en-GB"/>
        </w:rPr>
        <w:t xml:space="preserve">in the </w:t>
      </w:r>
      <w:r w:rsidRPr="002041E7">
        <w:rPr>
          <w:rFonts w:ascii="Arial" w:hAnsi="Arial" w:cs="Arial"/>
          <w:lang w:val="en-GB"/>
        </w:rPr>
        <w:t>last 5 years</w:t>
      </w:r>
      <w:r w:rsidR="00FD54BF" w:rsidRPr="002041E7">
        <w:rPr>
          <w:rFonts w:ascii="Arial" w:hAnsi="Arial" w:cs="Arial"/>
          <w:lang w:val="en-GB"/>
        </w:rPr>
        <w:t>)</w:t>
      </w:r>
      <w:r w:rsidR="005E3DA9" w:rsidRPr="002041E7">
        <w:rPr>
          <w:rFonts w:ascii="Arial" w:hAnsi="Arial" w:cs="Arial"/>
          <w:lang w:val="en-GB"/>
        </w:rPr>
        <w:t xml:space="preserve"> </w:t>
      </w:r>
    </w:p>
    <w:p w14:paraId="43510159" w14:textId="4940E68A" w:rsidR="00FD54BF"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2041E7">
        <w:rPr>
          <w:rFonts w:ascii="Arial" w:hAnsi="Arial" w:cs="Arial"/>
          <w:lang w:val="en-GB"/>
        </w:rPr>
        <w:t xml:space="preserve">Caggiano R, Prokhorova E, Duma L, </w:t>
      </w:r>
      <w:proofErr w:type="spellStart"/>
      <w:r w:rsidRPr="002041E7">
        <w:rPr>
          <w:rFonts w:ascii="Arial" w:hAnsi="Arial" w:cs="Arial"/>
          <w:lang w:val="en-GB"/>
        </w:rPr>
        <w:t>Schützenhofer</w:t>
      </w:r>
      <w:proofErr w:type="spellEnd"/>
      <w:r w:rsidRPr="002041E7">
        <w:rPr>
          <w:rFonts w:ascii="Arial" w:hAnsi="Arial" w:cs="Arial"/>
          <w:lang w:val="en-GB"/>
        </w:rPr>
        <w:t xml:space="preserve"> K, Lauro R, Catara G, Melillo RM, </w:t>
      </w:r>
      <w:proofErr w:type="spellStart"/>
      <w:r w:rsidRPr="002041E7">
        <w:rPr>
          <w:rFonts w:ascii="Arial" w:hAnsi="Arial" w:cs="Arial"/>
          <w:lang w:val="en-GB"/>
        </w:rPr>
        <w:t>Celetti</w:t>
      </w:r>
      <w:proofErr w:type="spellEnd"/>
      <w:r w:rsidRPr="002041E7">
        <w:rPr>
          <w:rFonts w:ascii="Arial" w:hAnsi="Arial" w:cs="Arial"/>
          <w:lang w:val="en-GB"/>
        </w:rPr>
        <w:t xml:space="preserve"> A, Smith R, </w:t>
      </w:r>
      <w:proofErr w:type="spellStart"/>
      <w:r w:rsidRPr="002041E7">
        <w:rPr>
          <w:rFonts w:ascii="Arial" w:hAnsi="Arial" w:cs="Arial"/>
          <w:lang w:val="en-GB"/>
        </w:rPr>
        <w:t>Weroha</w:t>
      </w:r>
      <w:proofErr w:type="spellEnd"/>
      <w:r w:rsidRPr="002041E7">
        <w:rPr>
          <w:rFonts w:ascii="Arial" w:hAnsi="Arial" w:cs="Arial"/>
          <w:lang w:val="en-GB"/>
        </w:rPr>
        <w:t xml:space="preserve"> SJ, Kaufmann SH, Ahel I, Palazzo L. Suppression of ADP-ribosylation reversal triggers cell vulnerability to alkylating agents. </w:t>
      </w:r>
      <w:r w:rsidRPr="00724148">
        <w:rPr>
          <w:rFonts w:ascii="Arial" w:hAnsi="Arial" w:cs="Arial"/>
          <w:i/>
          <w:iCs/>
          <w:lang w:val="en-GB"/>
        </w:rPr>
        <w:t>Neoplasia</w:t>
      </w:r>
      <w:r w:rsidRPr="002041E7">
        <w:rPr>
          <w:rFonts w:ascii="Arial" w:hAnsi="Arial" w:cs="Arial"/>
          <w:lang w:val="en-GB"/>
        </w:rPr>
        <w:t xml:space="preserve">. 2025 </w:t>
      </w:r>
      <w:proofErr w:type="gramStart"/>
      <w:r w:rsidRPr="002041E7">
        <w:rPr>
          <w:rFonts w:ascii="Arial" w:hAnsi="Arial" w:cs="Arial"/>
          <w:lang w:val="en-GB"/>
        </w:rPr>
        <w:t>Jan;59:101092</w:t>
      </w:r>
      <w:proofErr w:type="gramEnd"/>
      <w:r w:rsidRPr="002041E7">
        <w:rPr>
          <w:rFonts w:ascii="Arial" w:hAnsi="Arial" w:cs="Arial"/>
          <w:lang w:val="en-GB"/>
        </w:rPr>
        <w:t xml:space="preserve">. </w:t>
      </w:r>
      <w:proofErr w:type="spellStart"/>
      <w:r w:rsidRPr="002041E7">
        <w:rPr>
          <w:rFonts w:ascii="Arial" w:hAnsi="Arial" w:cs="Arial"/>
          <w:lang w:val="en-GB"/>
        </w:rPr>
        <w:t>doi</w:t>
      </w:r>
      <w:proofErr w:type="spellEnd"/>
      <w:r w:rsidRPr="002041E7">
        <w:rPr>
          <w:rFonts w:ascii="Arial" w:hAnsi="Arial" w:cs="Arial"/>
          <w:lang w:val="en-GB"/>
        </w:rPr>
        <w:t xml:space="preserve">: 10.1016/j.neo.2024.101092. </w:t>
      </w:r>
    </w:p>
    <w:p w14:paraId="610850A6" w14:textId="77777777" w:rsidR="00720FF5"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3D194DA6" w14:textId="59D91A3E" w:rsidR="00FD54BF"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2041E7">
        <w:rPr>
          <w:rFonts w:ascii="Arial" w:hAnsi="Arial" w:cs="Arial"/>
          <w:lang w:val="en-GB"/>
        </w:rPr>
        <w:t xml:space="preserve">Morra F, Merolla F, Damia G, Ricci F, Varricchio S, Ilardi G, </w:t>
      </w:r>
      <w:proofErr w:type="spellStart"/>
      <w:r w:rsidRPr="002041E7">
        <w:rPr>
          <w:rFonts w:ascii="Arial" w:hAnsi="Arial" w:cs="Arial"/>
          <w:lang w:val="en-GB"/>
        </w:rPr>
        <w:t>Arenare</w:t>
      </w:r>
      <w:proofErr w:type="spellEnd"/>
      <w:r w:rsidRPr="002041E7">
        <w:rPr>
          <w:rFonts w:ascii="Arial" w:hAnsi="Arial" w:cs="Arial"/>
          <w:lang w:val="en-GB"/>
        </w:rPr>
        <w:t xml:space="preserve"> L, Califano D, Napolitano V, </w:t>
      </w:r>
      <w:proofErr w:type="spellStart"/>
      <w:r w:rsidRPr="002041E7">
        <w:rPr>
          <w:rFonts w:ascii="Arial" w:hAnsi="Arial" w:cs="Arial"/>
          <w:lang w:val="en-GB"/>
        </w:rPr>
        <w:t>Fruscio</w:t>
      </w:r>
      <w:proofErr w:type="spellEnd"/>
      <w:r w:rsidRPr="002041E7">
        <w:rPr>
          <w:rFonts w:ascii="Arial" w:hAnsi="Arial" w:cs="Arial"/>
          <w:lang w:val="en-GB"/>
        </w:rPr>
        <w:t xml:space="preserve"> R, Melillo RM, Palazzo L</w:t>
      </w:r>
      <w:r w:rsidR="00283211" w:rsidRPr="001B1AD6">
        <w:rPr>
          <w:rFonts w:ascii="Arial" w:hAnsi="Arial" w:cs="Arial"/>
          <w:i/>
          <w:iCs/>
          <w:vertAlign w:val="superscript"/>
          <w:lang w:val="en-GB"/>
        </w:rPr>
        <w:t>#</w:t>
      </w:r>
      <w:r w:rsidRPr="002041E7">
        <w:rPr>
          <w:rFonts w:ascii="Arial" w:hAnsi="Arial" w:cs="Arial"/>
          <w:lang w:val="en-GB"/>
        </w:rPr>
        <w:t xml:space="preserve">, </w:t>
      </w:r>
      <w:proofErr w:type="spellStart"/>
      <w:r w:rsidRPr="002041E7">
        <w:rPr>
          <w:rFonts w:ascii="Arial" w:hAnsi="Arial" w:cs="Arial"/>
          <w:lang w:val="en-GB"/>
        </w:rPr>
        <w:t>Celetti</w:t>
      </w:r>
      <w:proofErr w:type="spellEnd"/>
      <w:r w:rsidRPr="002041E7">
        <w:rPr>
          <w:rFonts w:ascii="Arial" w:hAnsi="Arial" w:cs="Arial"/>
          <w:lang w:val="en-GB"/>
        </w:rPr>
        <w:t xml:space="preserve"> A</w:t>
      </w:r>
      <w:r w:rsidR="00283211" w:rsidRPr="001B1AD6">
        <w:rPr>
          <w:rFonts w:ascii="Arial" w:hAnsi="Arial" w:cs="Arial"/>
          <w:i/>
          <w:iCs/>
          <w:vertAlign w:val="superscript"/>
          <w:lang w:val="en-GB"/>
        </w:rPr>
        <w:t>#</w:t>
      </w:r>
      <w:r w:rsidRPr="002041E7">
        <w:rPr>
          <w:rFonts w:ascii="Arial" w:hAnsi="Arial" w:cs="Arial"/>
          <w:lang w:val="en-GB"/>
        </w:rPr>
        <w:t xml:space="preserve">. The disruption of the CCDC6 - PP4 axis induces a </w:t>
      </w:r>
      <w:proofErr w:type="spellStart"/>
      <w:r w:rsidRPr="002041E7">
        <w:rPr>
          <w:rFonts w:ascii="Arial" w:hAnsi="Arial" w:cs="Arial"/>
          <w:lang w:val="en-GB"/>
        </w:rPr>
        <w:t>BRCAness</w:t>
      </w:r>
      <w:proofErr w:type="spellEnd"/>
      <w:r w:rsidRPr="002041E7">
        <w:rPr>
          <w:rFonts w:ascii="Arial" w:hAnsi="Arial" w:cs="Arial"/>
          <w:lang w:val="en-GB"/>
        </w:rPr>
        <w:t xml:space="preserve"> like phenotype and sensitivity to PARP inhibitors in high-grade serous ovarian carcinoma. </w:t>
      </w:r>
      <w:r w:rsidRPr="00724148">
        <w:rPr>
          <w:rFonts w:ascii="Arial" w:hAnsi="Arial" w:cs="Arial"/>
          <w:i/>
          <w:iCs/>
          <w:lang w:val="en-GB"/>
        </w:rPr>
        <w:t>J Exp Clin Cancer Res</w:t>
      </w:r>
      <w:r w:rsidRPr="002041E7">
        <w:rPr>
          <w:rFonts w:ascii="Arial" w:hAnsi="Arial" w:cs="Arial"/>
          <w:lang w:val="en-GB"/>
        </w:rPr>
        <w:t xml:space="preserve">. 2022 Aug 13;41(1):245. </w:t>
      </w:r>
      <w:proofErr w:type="spellStart"/>
      <w:r w:rsidRPr="002041E7">
        <w:rPr>
          <w:rFonts w:ascii="Arial" w:hAnsi="Arial" w:cs="Arial"/>
          <w:lang w:val="en-GB"/>
        </w:rPr>
        <w:t>doi</w:t>
      </w:r>
      <w:proofErr w:type="spellEnd"/>
      <w:r w:rsidRPr="002041E7">
        <w:rPr>
          <w:rFonts w:ascii="Arial" w:hAnsi="Arial" w:cs="Arial"/>
          <w:lang w:val="en-GB"/>
        </w:rPr>
        <w:t>: 10.1186/s13046-022-02459-2</w:t>
      </w:r>
      <w:r w:rsidR="00283211" w:rsidRPr="002041E7">
        <w:rPr>
          <w:rFonts w:ascii="Arial" w:hAnsi="Arial" w:cs="Arial"/>
          <w:lang w:val="en-GB"/>
        </w:rPr>
        <w:t xml:space="preserve"> </w:t>
      </w:r>
      <w:r w:rsidR="00283211" w:rsidRPr="001B1AD6">
        <w:rPr>
          <w:rFonts w:ascii="Arial" w:hAnsi="Arial" w:cs="Arial"/>
          <w:i/>
          <w:iCs/>
          <w:lang w:val="en-GB"/>
        </w:rPr>
        <w:t>(*co-last authors)</w:t>
      </w:r>
    </w:p>
    <w:p w14:paraId="2BC8BC3A" w14:textId="77777777" w:rsidR="00FD54BF" w:rsidRPr="002041E7" w:rsidRDefault="00FD54BF"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78A7BFB0" w14:textId="78D09BC1" w:rsidR="00FD54BF"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2041E7">
        <w:rPr>
          <w:rFonts w:ascii="Arial" w:hAnsi="Arial" w:cs="Arial"/>
          <w:lang w:val="en-GB"/>
        </w:rPr>
        <w:t xml:space="preserve">Palazzo L, </w:t>
      </w:r>
      <w:proofErr w:type="spellStart"/>
      <w:r w:rsidRPr="002041E7">
        <w:rPr>
          <w:rFonts w:ascii="Arial" w:hAnsi="Arial" w:cs="Arial"/>
          <w:lang w:val="en-GB"/>
        </w:rPr>
        <w:t>Suskiewicz</w:t>
      </w:r>
      <w:proofErr w:type="spellEnd"/>
      <w:r w:rsidRPr="002041E7">
        <w:rPr>
          <w:rFonts w:ascii="Arial" w:hAnsi="Arial" w:cs="Arial"/>
          <w:lang w:val="en-GB"/>
        </w:rPr>
        <w:t xml:space="preserve"> MJ, Ahel I. Serine ADP-ribosylation in DNA-damage response regulation. </w:t>
      </w:r>
      <w:r w:rsidRPr="00724148">
        <w:rPr>
          <w:rFonts w:ascii="Arial" w:hAnsi="Arial" w:cs="Arial"/>
          <w:i/>
          <w:iCs/>
          <w:lang w:val="en-GB"/>
        </w:rPr>
        <w:t xml:space="preserve">Curr </w:t>
      </w:r>
      <w:proofErr w:type="spellStart"/>
      <w:r w:rsidRPr="00724148">
        <w:rPr>
          <w:rFonts w:ascii="Arial" w:hAnsi="Arial" w:cs="Arial"/>
          <w:i/>
          <w:iCs/>
          <w:lang w:val="en-GB"/>
        </w:rPr>
        <w:t>Opin</w:t>
      </w:r>
      <w:proofErr w:type="spellEnd"/>
      <w:r w:rsidRPr="00724148">
        <w:rPr>
          <w:rFonts w:ascii="Arial" w:hAnsi="Arial" w:cs="Arial"/>
          <w:i/>
          <w:iCs/>
          <w:lang w:val="en-GB"/>
        </w:rPr>
        <w:t xml:space="preserve"> Genet Dev</w:t>
      </w:r>
      <w:r w:rsidRPr="002041E7">
        <w:rPr>
          <w:rFonts w:ascii="Arial" w:hAnsi="Arial" w:cs="Arial"/>
          <w:lang w:val="en-GB"/>
        </w:rPr>
        <w:t xml:space="preserve">. 2021 </w:t>
      </w:r>
      <w:proofErr w:type="gramStart"/>
      <w:r w:rsidRPr="002041E7">
        <w:rPr>
          <w:rFonts w:ascii="Arial" w:hAnsi="Arial" w:cs="Arial"/>
          <w:lang w:val="en-GB"/>
        </w:rPr>
        <w:t>Dec;71:106</w:t>
      </w:r>
      <w:proofErr w:type="gramEnd"/>
      <w:r w:rsidRPr="002041E7">
        <w:rPr>
          <w:rFonts w:ascii="Arial" w:hAnsi="Arial" w:cs="Arial"/>
          <w:lang w:val="en-GB"/>
        </w:rPr>
        <w:t xml:space="preserve">-113. </w:t>
      </w:r>
      <w:proofErr w:type="spellStart"/>
      <w:r w:rsidRPr="002041E7">
        <w:rPr>
          <w:rFonts w:ascii="Arial" w:hAnsi="Arial" w:cs="Arial"/>
          <w:lang w:val="en-GB"/>
        </w:rPr>
        <w:t>doi</w:t>
      </w:r>
      <w:proofErr w:type="spellEnd"/>
      <w:r w:rsidRPr="002041E7">
        <w:rPr>
          <w:rFonts w:ascii="Arial" w:hAnsi="Arial" w:cs="Arial"/>
          <w:lang w:val="en-GB"/>
        </w:rPr>
        <w:t xml:space="preserve">: 10.1016/j.gde.2021.07.005. </w:t>
      </w:r>
    </w:p>
    <w:p w14:paraId="50A4B1DA" w14:textId="77777777" w:rsidR="00720FF5"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338AF25B" w14:textId="75F43624" w:rsidR="00720FF5"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2041E7">
        <w:rPr>
          <w:rFonts w:ascii="Arial" w:hAnsi="Arial" w:cs="Arial"/>
          <w:lang w:val="en-GB"/>
        </w:rPr>
        <w:t xml:space="preserve">Prokhorova E, Agnew T, </w:t>
      </w:r>
      <w:proofErr w:type="spellStart"/>
      <w:r w:rsidRPr="002041E7">
        <w:rPr>
          <w:rFonts w:ascii="Arial" w:hAnsi="Arial" w:cs="Arial"/>
          <w:lang w:val="en-GB"/>
        </w:rPr>
        <w:t>Wondisford</w:t>
      </w:r>
      <w:proofErr w:type="spellEnd"/>
      <w:r w:rsidRPr="002041E7">
        <w:rPr>
          <w:rFonts w:ascii="Arial" w:hAnsi="Arial" w:cs="Arial"/>
          <w:lang w:val="en-GB"/>
        </w:rPr>
        <w:t xml:space="preserve"> AR, Tellier M, Kaminski N, Beijer D, Holder J, </w:t>
      </w:r>
      <w:proofErr w:type="spellStart"/>
      <w:r w:rsidRPr="002041E7">
        <w:rPr>
          <w:rFonts w:ascii="Arial" w:hAnsi="Arial" w:cs="Arial"/>
          <w:lang w:val="en-GB"/>
        </w:rPr>
        <w:t>Groslambert</w:t>
      </w:r>
      <w:proofErr w:type="spellEnd"/>
      <w:r w:rsidRPr="002041E7">
        <w:rPr>
          <w:rFonts w:ascii="Arial" w:hAnsi="Arial" w:cs="Arial"/>
          <w:lang w:val="en-GB"/>
        </w:rPr>
        <w:t xml:space="preserve"> J, </w:t>
      </w:r>
      <w:proofErr w:type="spellStart"/>
      <w:r w:rsidRPr="002041E7">
        <w:rPr>
          <w:rFonts w:ascii="Arial" w:hAnsi="Arial" w:cs="Arial"/>
          <w:lang w:val="en-GB"/>
        </w:rPr>
        <w:t>Suskiewicz</w:t>
      </w:r>
      <w:proofErr w:type="spellEnd"/>
      <w:r w:rsidRPr="002041E7">
        <w:rPr>
          <w:rFonts w:ascii="Arial" w:hAnsi="Arial" w:cs="Arial"/>
          <w:lang w:val="en-GB"/>
        </w:rPr>
        <w:t xml:space="preserve"> MJ, Zhu K, Reber JM, </w:t>
      </w:r>
      <w:proofErr w:type="spellStart"/>
      <w:r w:rsidRPr="002041E7">
        <w:rPr>
          <w:rFonts w:ascii="Arial" w:hAnsi="Arial" w:cs="Arial"/>
          <w:lang w:val="en-GB"/>
        </w:rPr>
        <w:t>Krassnig</w:t>
      </w:r>
      <w:proofErr w:type="spellEnd"/>
      <w:r w:rsidRPr="002041E7">
        <w:rPr>
          <w:rFonts w:ascii="Arial" w:hAnsi="Arial" w:cs="Arial"/>
          <w:lang w:val="en-GB"/>
        </w:rPr>
        <w:t xml:space="preserve"> SC, Palazzo L, Murphy S, Nielsen ML, </w:t>
      </w:r>
      <w:proofErr w:type="spellStart"/>
      <w:r w:rsidRPr="002041E7">
        <w:rPr>
          <w:rFonts w:ascii="Arial" w:hAnsi="Arial" w:cs="Arial"/>
          <w:lang w:val="en-GB"/>
        </w:rPr>
        <w:t>Mangerich</w:t>
      </w:r>
      <w:proofErr w:type="spellEnd"/>
      <w:r w:rsidRPr="002041E7">
        <w:rPr>
          <w:rFonts w:ascii="Arial" w:hAnsi="Arial" w:cs="Arial"/>
          <w:lang w:val="en-GB"/>
        </w:rPr>
        <w:t xml:space="preserve"> A, Ahel D, </w:t>
      </w:r>
      <w:proofErr w:type="spellStart"/>
      <w:r w:rsidRPr="002041E7">
        <w:rPr>
          <w:rFonts w:ascii="Arial" w:hAnsi="Arial" w:cs="Arial"/>
          <w:lang w:val="en-GB"/>
        </w:rPr>
        <w:t>Baets</w:t>
      </w:r>
      <w:proofErr w:type="spellEnd"/>
      <w:r w:rsidRPr="002041E7">
        <w:rPr>
          <w:rFonts w:ascii="Arial" w:hAnsi="Arial" w:cs="Arial"/>
          <w:lang w:val="en-GB"/>
        </w:rPr>
        <w:t xml:space="preserve"> J, O'Sullivan RJ, Ahel I. Unrestrained poly-ADP-ribosylation provides insights into chromatin regulation and human disease. </w:t>
      </w:r>
      <w:r w:rsidRPr="00724148">
        <w:rPr>
          <w:rFonts w:ascii="Arial" w:hAnsi="Arial" w:cs="Arial"/>
          <w:i/>
          <w:iCs/>
          <w:lang w:val="en-GB"/>
        </w:rPr>
        <w:t>Mol Cell</w:t>
      </w:r>
      <w:r w:rsidRPr="002041E7">
        <w:rPr>
          <w:rFonts w:ascii="Arial" w:hAnsi="Arial" w:cs="Arial"/>
          <w:lang w:val="en-GB"/>
        </w:rPr>
        <w:t xml:space="preserve">. 2021 Jun 17;81(12):2640-2655.e8. </w:t>
      </w:r>
      <w:proofErr w:type="spellStart"/>
      <w:r w:rsidRPr="002041E7">
        <w:rPr>
          <w:rFonts w:ascii="Arial" w:hAnsi="Arial" w:cs="Arial"/>
          <w:lang w:val="en-GB"/>
        </w:rPr>
        <w:t>doi</w:t>
      </w:r>
      <w:proofErr w:type="spellEnd"/>
      <w:r w:rsidRPr="002041E7">
        <w:rPr>
          <w:rFonts w:ascii="Arial" w:hAnsi="Arial" w:cs="Arial"/>
          <w:lang w:val="en-GB"/>
        </w:rPr>
        <w:t xml:space="preserve">: 10.1016/j.molcel.2021.04.028. </w:t>
      </w:r>
      <w:proofErr w:type="spellStart"/>
      <w:r w:rsidRPr="002041E7">
        <w:rPr>
          <w:rFonts w:ascii="Arial" w:hAnsi="Arial" w:cs="Arial"/>
          <w:lang w:val="en-GB"/>
        </w:rPr>
        <w:t>Epub</w:t>
      </w:r>
      <w:proofErr w:type="spellEnd"/>
      <w:r w:rsidRPr="002041E7">
        <w:rPr>
          <w:rFonts w:ascii="Arial" w:hAnsi="Arial" w:cs="Arial"/>
          <w:lang w:val="en-GB"/>
        </w:rPr>
        <w:t xml:space="preserve"> 2021 May </w:t>
      </w:r>
      <w:proofErr w:type="gramStart"/>
      <w:r w:rsidRPr="002041E7">
        <w:rPr>
          <w:rFonts w:ascii="Arial" w:hAnsi="Arial" w:cs="Arial"/>
          <w:lang w:val="en-GB"/>
        </w:rPr>
        <w:t>20..</w:t>
      </w:r>
      <w:proofErr w:type="gramEnd"/>
    </w:p>
    <w:p w14:paraId="6588EB8D" w14:textId="77777777" w:rsidR="00FD54BF" w:rsidRPr="002041E7" w:rsidRDefault="00FD54BF" w:rsidP="00FD54BF">
      <w:pPr>
        <w:pBdr>
          <w:top w:val="single" w:sz="4" w:space="1" w:color="auto"/>
          <w:left w:val="single" w:sz="4" w:space="4" w:color="auto"/>
          <w:bottom w:val="single" w:sz="4" w:space="1" w:color="auto"/>
          <w:right w:val="single" w:sz="4" w:space="4" w:color="auto"/>
        </w:pBdr>
        <w:rPr>
          <w:rFonts w:ascii="Arial" w:hAnsi="Arial" w:cs="Arial"/>
          <w:lang w:val="en-GB"/>
        </w:rPr>
      </w:pPr>
    </w:p>
    <w:p w14:paraId="25977EC1" w14:textId="34CE0D06" w:rsidR="00FD54BF" w:rsidRPr="002041E7" w:rsidRDefault="00720FF5"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2041E7">
        <w:rPr>
          <w:rFonts w:ascii="Arial" w:hAnsi="Arial" w:cs="Arial"/>
          <w:lang w:val="en-GB"/>
        </w:rPr>
        <w:t>Rack JGM*, Palazzo L</w:t>
      </w:r>
      <w:r w:rsidRPr="001B1AD6">
        <w:rPr>
          <w:rFonts w:ascii="Arial" w:hAnsi="Arial" w:cs="Arial"/>
          <w:i/>
          <w:iCs/>
          <w:lang w:val="en-GB"/>
        </w:rPr>
        <w:t>*</w:t>
      </w:r>
      <w:r w:rsidRPr="002041E7">
        <w:rPr>
          <w:rFonts w:ascii="Arial" w:hAnsi="Arial" w:cs="Arial"/>
          <w:lang w:val="en-GB"/>
        </w:rPr>
        <w:t>, Ahel I. (ADP-</w:t>
      </w:r>
      <w:proofErr w:type="gramStart"/>
      <w:r w:rsidRPr="002041E7">
        <w:rPr>
          <w:rFonts w:ascii="Arial" w:hAnsi="Arial" w:cs="Arial"/>
          <w:lang w:val="en-GB"/>
        </w:rPr>
        <w:t>ribosyl)hydrolases</w:t>
      </w:r>
      <w:proofErr w:type="gramEnd"/>
      <w:r w:rsidRPr="002041E7">
        <w:rPr>
          <w:rFonts w:ascii="Arial" w:hAnsi="Arial" w:cs="Arial"/>
          <w:lang w:val="en-GB"/>
        </w:rPr>
        <w:t xml:space="preserve">: structure, function, and biology. </w:t>
      </w:r>
      <w:r w:rsidRPr="00724148">
        <w:rPr>
          <w:rFonts w:ascii="Arial" w:hAnsi="Arial" w:cs="Arial"/>
          <w:i/>
          <w:iCs/>
          <w:lang w:val="en-GB"/>
        </w:rPr>
        <w:t>Genes Dev</w:t>
      </w:r>
      <w:r w:rsidRPr="002041E7">
        <w:rPr>
          <w:rFonts w:ascii="Arial" w:hAnsi="Arial" w:cs="Arial"/>
          <w:lang w:val="en-GB"/>
        </w:rPr>
        <w:t xml:space="preserve">. 2020 Mar 1;34(5-6):263-284. </w:t>
      </w:r>
      <w:proofErr w:type="spellStart"/>
      <w:r w:rsidRPr="002041E7">
        <w:rPr>
          <w:rFonts w:ascii="Arial" w:hAnsi="Arial" w:cs="Arial"/>
          <w:lang w:val="en-GB"/>
        </w:rPr>
        <w:t>doi</w:t>
      </w:r>
      <w:proofErr w:type="spellEnd"/>
      <w:r w:rsidRPr="002041E7">
        <w:rPr>
          <w:rFonts w:ascii="Arial" w:hAnsi="Arial" w:cs="Arial"/>
          <w:lang w:val="en-GB"/>
        </w:rPr>
        <w:t xml:space="preserve">: 10.1101/gad.334631.119. </w:t>
      </w:r>
      <w:proofErr w:type="spellStart"/>
      <w:r w:rsidRPr="002041E7">
        <w:rPr>
          <w:rFonts w:ascii="Arial" w:hAnsi="Arial" w:cs="Arial"/>
          <w:lang w:val="en-GB"/>
        </w:rPr>
        <w:t>Epub</w:t>
      </w:r>
      <w:proofErr w:type="spellEnd"/>
      <w:r w:rsidRPr="002041E7">
        <w:rPr>
          <w:rFonts w:ascii="Arial" w:hAnsi="Arial" w:cs="Arial"/>
          <w:lang w:val="en-GB"/>
        </w:rPr>
        <w:t xml:space="preserve"> 2020 Feb 6. </w:t>
      </w:r>
      <w:r w:rsidRPr="001B1AD6">
        <w:rPr>
          <w:rFonts w:ascii="Arial" w:hAnsi="Arial" w:cs="Arial"/>
          <w:i/>
          <w:iCs/>
          <w:lang w:val="en-GB"/>
        </w:rPr>
        <w:t>(*co-first authors)</w:t>
      </w:r>
    </w:p>
    <w:p w14:paraId="6730BE66" w14:textId="77777777" w:rsidR="00FD54BF" w:rsidRPr="002041E7" w:rsidRDefault="00FD54BF">
      <w:pPr>
        <w:rPr>
          <w:rFonts w:ascii="Arial" w:hAnsi="Arial" w:cs="Arial"/>
          <w:lang w:val="en-GB"/>
        </w:rPr>
      </w:pPr>
    </w:p>
    <w:p w14:paraId="123A8834" w14:textId="5FD66217" w:rsidR="00FD54BF" w:rsidRPr="002041E7" w:rsidRDefault="009F211E">
      <w:pPr>
        <w:rPr>
          <w:rFonts w:ascii="Arial" w:hAnsi="Arial" w:cs="Arial"/>
          <w:lang w:val="en-GB"/>
        </w:rPr>
      </w:pPr>
      <w:r w:rsidRPr="002041E7">
        <w:rPr>
          <w:rFonts w:ascii="Arial" w:hAnsi="Arial" w:cs="Arial"/>
          <w:b/>
          <w:bCs/>
          <w:lang w:val="en-GB"/>
        </w:rPr>
        <w:t>FUNDING</w:t>
      </w:r>
      <w:r w:rsidRPr="002041E7">
        <w:rPr>
          <w:rFonts w:ascii="Arial" w:hAnsi="Arial" w:cs="Arial"/>
          <w:lang w:val="en-GB"/>
        </w:rPr>
        <w:t xml:space="preserve"> </w:t>
      </w:r>
    </w:p>
    <w:p w14:paraId="67A2AD50" w14:textId="064B14E0" w:rsidR="005310A5" w:rsidRPr="002041E7" w:rsidRDefault="00283211" w:rsidP="00FD54BF">
      <w:pPr>
        <w:pBdr>
          <w:top w:val="single" w:sz="4" w:space="1" w:color="auto"/>
          <w:left w:val="single" w:sz="4" w:space="4" w:color="auto"/>
          <w:bottom w:val="single" w:sz="4" w:space="1" w:color="auto"/>
          <w:right w:val="single" w:sz="4" w:space="4" w:color="auto"/>
        </w:pBdr>
        <w:rPr>
          <w:rFonts w:ascii="Arial" w:hAnsi="Arial" w:cs="Arial"/>
          <w:lang w:val="en-GB"/>
        </w:rPr>
      </w:pPr>
      <w:r w:rsidRPr="002041E7">
        <w:rPr>
          <w:rFonts w:ascii="Arial" w:hAnsi="Arial" w:cs="Arial"/>
          <w:lang w:val="en-GB"/>
        </w:rPr>
        <w:t>Ministry of University and Research; Ovarian cancer cells from iron addiction to ferroptosis vulnerability. 2023-2025</w:t>
      </w:r>
      <w:r w:rsidR="000E34D9">
        <w:rPr>
          <w:rFonts w:ascii="Arial" w:hAnsi="Arial" w:cs="Arial"/>
          <w:lang w:val="en-GB"/>
        </w:rPr>
        <w:t>.</w:t>
      </w:r>
    </w:p>
    <w:p w14:paraId="7E677424" w14:textId="77777777" w:rsidR="005310A5" w:rsidRPr="002041E7" w:rsidRDefault="005310A5" w:rsidP="005310A5">
      <w:pPr>
        <w:rPr>
          <w:rFonts w:ascii="Arial" w:hAnsi="Arial" w:cs="Arial"/>
          <w:lang w:val="en-GB"/>
        </w:rPr>
      </w:pPr>
    </w:p>
    <w:p w14:paraId="4916F18C" w14:textId="77777777" w:rsidR="00FD54BF" w:rsidRPr="002041E7" w:rsidRDefault="00FD54BF">
      <w:pPr>
        <w:rPr>
          <w:rFonts w:ascii="Arial" w:hAnsi="Arial" w:cs="Arial"/>
          <w:lang w:val="en-GB"/>
        </w:rPr>
      </w:pPr>
    </w:p>
    <w:sectPr w:rsidR="00FD54BF" w:rsidRPr="002041E7"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B4530"/>
    <w:rsid w:val="000E34D9"/>
    <w:rsid w:val="00131DC0"/>
    <w:rsid w:val="00131F72"/>
    <w:rsid w:val="001B1AD6"/>
    <w:rsid w:val="001E316A"/>
    <w:rsid w:val="002041E7"/>
    <w:rsid w:val="00283211"/>
    <w:rsid w:val="003F711C"/>
    <w:rsid w:val="004076E2"/>
    <w:rsid w:val="004A0B63"/>
    <w:rsid w:val="005310A5"/>
    <w:rsid w:val="005A6904"/>
    <w:rsid w:val="005E3DA9"/>
    <w:rsid w:val="006325E8"/>
    <w:rsid w:val="006F770B"/>
    <w:rsid w:val="00720FF5"/>
    <w:rsid w:val="00724148"/>
    <w:rsid w:val="007315B3"/>
    <w:rsid w:val="00795D89"/>
    <w:rsid w:val="0087758B"/>
    <w:rsid w:val="00880BA1"/>
    <w:rsid w:val="008830F8"/>
    <w:rsid w:val="008C6268"/>
    <w:rsid w:val="00963B76"/>
    <w:rsid w:val="009879E9"/>
    <w:rsid w:val="009F211E"/>
    <w:rsid w:val="00A81FCD"/>
    <w:rsid w:val="00B119AA"/>
    <w:rsid w:val="00B20A2C"/>
    <w:rsid w:val="00B540B1"/>
    <w:rsid w:val="00C12D2B"/>
    <w:rsid w:val="00C751B3"/>
    <w:rsid w:val="00C94F2F"/>
    <w:rsid w:val="00D113ED"/>
    <w:rsid w:val="00DA7BC5"/>
    <w:rsid w:val="00E633E0"/>
    <w:rsid w:val="00EA525D"/>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131F72"/>
    <w:rPr>
      <w:color w:val="467886" w:themeColor="hyperlink"/>
      <w:u w:val="single"/>
    </w:rPr>
  </w:style>
  <w:style w:type="character" w:styleId="Menzionenonrisolta">
    <w:name w:val="Unresolved Mention"/>
    <w:basedOn w:val="Carpredefinitoparagrafo"/>
    <w:uiPriority w:val="99"/>
    <w:rsid w:val="00131F72"/>
    <w:rPr>
      <w:color w:val="605E5C"/>
      <w:shd w:val="clear" w:color="auto" w:fill="E1DFDD"/>
    </w:rPr>
  </w:style>
  <w:style w:type="character" w:styleId="Rimandocommento">
    <w:name w:val="annotation reference"/>
    <w:basedOn w:val="Carpredefinitoparagrafo"/>
    <w:uiPriority w:val="99"/>
    <w:semiHidden/>
    <w:unhideWhenUsed/>
    <w:rsid w:val="006325E8"/>
    <w:rPr>
      <w:sz w:val="16"/>
      <w:szCs w:val="16"/>
    </w:rPr>
  </w:style>
  <w:style w:type="paragraph" w:styleId="Testocommento">
    <w:name w:val="annotation text"/>
    <w:basedOn w:val="Normale"/>
    <w:link w:val="TestocommentoCarattere"/>
    <w:uiPriority w:val="99"/>
    <w:semiHidden/>
    <w:unhideWhenUsed/>
    <w:rsid w:val="006325E8"/>
    <w:rPr>
      <w:sz w:val="20"/>
      <w:szCs w:val="20"/>
    </w:rPr>
  </w:style>
  <w:style w:type="character" w:customStyle="1" w:styleId="TestocommentoCarattere">
    <w:name w:val="Testo commento Carattere"/>
    <w:basedOn w:val="Carpredefinitoparagrafo"/>
    <w:link w:val="Testocommento"/>
    <w:uiPriority w:val="99"/>
    <w:semiHidden/>
    <w:rsid w:val="006325E8"/>
    <w:rPr>
      <w:sz w:val="20"/>
      <w:szCs w:val="20"/>
    </w:rPr>
  </w:style>
  <w:style w:type="paragraph" w:styleId="Soggettocommento">
    <w:name w:val="annotation subject"/>
    <w:basedOn w:val="Testocommento"/>
    <w:next w:val="Testocommento"/>
    <w:link w:val="SoggettocommentoCarattere"/>
    <w:uiPriority w:val="99"/>
    <w:semiHidden/>
    <w:unhideWhenUsed/>
    <w:rsid w:val="006325E8"/>
    <w:rPr>
      <w:b/>
      <w:bCs/>
    </w:rPr>
  </w:style>
  <w:style w:type="character" w:customStyle="1" w:styleId="SoggettocommentoCarattere">
    <w:name w:val="Soggetto commento Carattere"/>
    <w:basedOn w:val="TestocommentoCarattere"/>
    <w:link w:val="Soggettocommento"/>
    <w:uiPriority w:val="99"/>
    <w:semiHidden/>
    <w:rsid w:val="006325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4392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3</cp:revision>
  <dcterms:created xsi:type="dcterms:W3CDTF">2025-11-11T11:36:00Z</dcterms:created>
  <dcterms:modified xsi:type="dcterms:W3CDTF">2025-11-11T13:38:00Z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