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A0D3" w14:textId="77777777" w:rsidR="009F211E" w:rsidRPr="00F15EB4" w:rsidRDefault="009F211E">
      <w:pPr>
        <w:rPr>
          <w:rFonts w:ascii="Arial" w:hAnsi="Arial" w:cs="Arial"/>
          <w:lang w:val="en-US"/>
        </w:rPr>
      </w:pPr>
    </w:p>
    <w:p w14:paraId="527B70D5" w14:textId="3059BB63" w:rsidR="00FD54BF" w:rsidRPr="00B3415E" w:rsidRDefault="009F211E" w:rsidP="00B3415E">
      <w:pPr>
        <w:rPr>
          <w:rFonts w:ascii="Arial" w:hAnsi="Arial" w:cs="Arial"/>
          <w:b/>
          <w:bCs/>
          <w:lang w:val="en-US"/>
        </w:rPr>
      </w:pPr>
      <w:r w:rsidRPr="00B3415E">
        <w:rPr>
          <w:rFonts w:ascii="Arial" w:hAnsi="Arial" w:cs="Arial"/>
          <w:b/>
          <w:bCs/>
          <w:lang w:val="en-US"/>
        </w:rPr>
        <w:t xml:space="preserve">PI </w:t>
      </w:r>
      <w:r w:rsidR="00FD54BF" w:rsidRPr="00B3415E">
        <w:rPr>
          <w:rFonts w:ascii="Arial" w:hAnsi="Arial" w:cs="Arial"/>
          <w:b/>
          <w:bCs/>
          <w:lang w:val="en-US"/>
        </w:rPr>
        <w:t>N</w:t>
      </w:r>
      <w:r w:rsidRPr="00B3415E">
        <w:rPr>
          <w:rFonts w:ascii="Arial" w:hAnsi="Arial" w:cs="Arial"/>
          <w:b/>
          <w:bCs/>
          <w:lang w:val="en-US"/>
        </w:rPr>
        <w:t>AME</w:t>
      </w:r>
      <w:r w:rsidR="00FD54BF" w:rsidRPr="00B3415E">
        <w:rPr>
          <w:rFonts w:ascii="Arial" w:hAnsi="Arial" w:cs="Arial"/>
          <w:b/>
          <w:bCs/>
          <w:lang w:val="en-US"/>
        </w:rPr>
        <w:t xml:space="preserve"> </w:t>
      </w:r>
    </w:p>
    <w:p w14:paraId="793B031C" w14:textId="2A6043B9" w:rsidR="00FD54BF" w:rsidRPr="00B3415E" w:rsidRDefault="008348AD" w:rsidP="00B3415E">
      <w:pPr>
        <w:pBdr>
          <w:top w:val="single" w:sz="4" w:space="1" w:color="auto"/>
          <w:left w:val="single" w:sz="4" w:space="4" w:color="auto"/>
          <w:bottom w:val="single" w:sz="4" w:space="1" w:color="auto"/>
          <w:right w:val="single" w:sz="4" w:space="4" w:color="auto"/>
        </w:pBdr>
        <w:rPr>
          <w:rFonts w:ascii="Arial" w:hAnsi="Arial" w:cs="Arial"/>
          <w:lang w:val="en-US"/>
        </w:rPr>
      </w:pPr>
      <w:hyperlink r:id="rId4" w:anchor="!/professor/47494f56414e4e41204d4152494150494552414e544f4e4950524e474e4e37324136324638333943/riferimenti" w:history="1">
        <w:r w:rsidR="00F15EB4" w:rsidRPr="008348AD">
          <w:rPr>
            <w:rStyle w:val="Collegamentoipertestuale"/>
            <w:rFonts w:ascii="Arial" w:hAnsi="Arial" w:cs="Arial"/>
            <w:lang w:val="en-US"/>
          </w:rPr>
          <w:t>Giovanna Maria Pierantoni</w:t>
        </w:r>
      </w:hyperlink>
      <w:r>
        <w:rPr>
          <w:rFonts w:ascii="Arial" w:hAnsi="Arial" w:cs="Arial"/>
          <w:lang w:val="en-US"/>
        </w:rPr>
        <w:t>, Full professor</w:t>
      </w:r>
    </w:p>
    <w:p w14:paraId="4497EA79" w14:textId="77777777" w:rsidR="00FD54BF" w:rsidRPr="00B3415E" w:rsidRDefault="00FD54BF"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2FA46921" w14:textId="77777777" w:rsidR="00FD54BF" w:rsidRPr="00B3415E" w:rsidRDefault="00FD54BF" w:rsidP="00B3415E">
      <w:pPr>
        <w:rPr>
          <w:rFonts w:ascii="Arial" w:hAnsi="Arial" w:cs="Arial"/>
          <w:lang w:val="en-US"/>
        </w:rPr>
      </w:pPr>
    </w:p>
    <w:p w14:paraId="30797954" w14:textId="6650302F" w:rsidR="00FD54BF" w:rsidRPr="00B3415E" w:rsidRDefault="009F211E" w:rsidP="00B3415E">
      <w:pPr>
        <w:rPr>
          <w:rFonts w:ascii="Arial" w:hAnsi="Arial" w:cs="Arial"/>
          <w:lang w:val="en-US"/>
        </w:rPr>
      </w:pPr>
      <w:r w:rsidRPr="00B3415E">
        <w:rPr>
          <w:rFonts w:ascii="Arial" w:hAnsi="Arial" w:cs="Arial"/>
          <w:b/>
          <w:bCs/>
          <w:lang w:val="en-US"/>
        </w:rPr>
        <w:t>GROUP</w:t>
      </w:r>
    </w:p>
    <w:p w14:paraId="38BAE456" w14:textId="213F19BC" w:rsidR="00FD54BF" w:rsidRPr="00B3415E" w:rsidRDefault="00F15EB4" w:rsidP="00B3415E">
      <w:pPr>
        <w:pBdr>
          <w:top w:val="single" w:sz="4" w:space="1" w:color="auto"/>
          <w:left w:val="single" w:sz="4" w:space="4" w:color="auto"/>
          <w:bottom w:val="single" w:sz="4" w:space="1" w:color="auto"/>
          <w:right w:val="single" w:sz="4" w:space="4" w:color="auto"/>
        </w:pBdr>
        <w:rPr>
          <w:rFonts w:ascii="Arial" w:hAnsi="Arial" w:cs="Arial"/>
        </w:rPr>
      </w:pPr>
      <w:r w:rsidRPr="00B3415E">
        <w:rPr>
          <w:rFonts w:ascii="Arial" w:hAnsi="Arial" w:cs="Arial"/>
        </w:rPr>
        <w:t>Alessandra Palazzi, Ph</w:t>
      </w:r>
      <w:r w:rsidR="00B3415E" w:rsidRPr="00B3415E">
        <w:rPr>
          <w:rFonts w:ascii="Arial" w:hAnsi="Arial" w:cs="Arial"/>
        </w:rPr>
        <w:t>D</w:t>
      </w:r>
      <w:r w:rsidR="008348AD">
        <w:rPr>
          <w:rFonts w:ascii="Arial" w:hAnsi="Arial" w:cs="Arial"/>
        </w:rPr>
        <w:t xml:space="preserve"> student</w:t>
      </w:r>
    </w:p>
    <w:p w14:paraId="1E8B6DA2" w14:textId="4D8CA8E4" w:rsidR="00F15EB4" w:rsidRPr="00B3415E" w:rsidRDefault="00F15EB4" w:rsidP="00B3415E">
      <w:pPr>
        <w:pBdr>
          <w:top w:val="single" w:sz="4" w:space="1" w:color="auto"/>
          <w:left w:val="single" w:sz="4" w:space="4" w:color="auto"/>
          <w:bottom w:val="single" w:sz="4" w:space="1" w:color="auto"/>
          <w:right w:val="single" w:sz="4" w:space="4" w:color="auto"/>
        </w:pBdr>
        <w:rPr>
          <w:rFonts w:ascii="Arial" w:hAnsi="Arial" w:cs="Arial"/>
        </w:rPr>
      </w:pPr>
      <w:r w:rsidRPr="00B3415E">
        <w:rPr>
          <w:rFonts w:ascii="Arial" w:hAnsi="Arial" w:cs="Arial"/>
        </w:rPr>
        <w:t xml:space="preserve">Carolina Canè, </w:t>
      </w:r>
      <w:r w:rsidR="008348AD">
        <w:rPr>
          <w:rFonts w:ascii="Arial" w:hAnsi="Arial" w:cs="Arial"/>
        </w:rPr>
        <w:t>P</w:t>
      </w:r>
      <w:r w:rsidRPr="00B3415E">
        <w:rPr>
          <w:rFonts w:ascii="Arial" w:hAnsi="Arial" w:cs="Arial"/>
        </w:rPr>
        <w:t>ost</w:t>
      </w:r>
      <w:r w:rsidR="008348AD">
        <w:rPr>
          <w:rFonts w:ascii="Arial" w:hAnsi="Arial" w:cs="Arial"/>
        </w:rPr>
        <w:t>-D</w:t>
      </w:r>
      <w:r w:rsidRPr="00B3415E">
        <w:rPr>
          <w:rFonts w:ascii="Arial" w:hAnsi="Arial" w:cs="Arial"/>
        </w:rPr>
        <w:t xml:space="preserve">oc </w:t>
      </w:r>
    </w:p>
    <w:p w14:paraId="10BE1AC8" w14:textId="781F774A" w:rsidR="00FD54BF" w:rsidRPr="00B3415E" w:rsidRDefault="00F15EB4"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3415E">
        <w:rPr>
          <w:rFonts w:ascii="Arial" w:hAnsi="Arial" w:cs="Arial"/>
          <w:lang w:val="en-US"/>
        </w:rPr>
        <w:t xml:space="preserve">Nunzia Mollo, </w:t>
      </w:r>
      <w:r w:rsidR="008348AD">
        <w:rPr>
          <w:rFonts w:ascii="Arial" w:hAnsi="Arial" w:cs="Arial"/>
          <w:lang w:val="en-US"/>
        </w:rPr>
        <w:t>P</w:t>
      </w:r>
      <w:r w:rsidRPr="00B3415E">
        <w:rPr>
          <w:rFonts w:ascii="Arial" w:hAnsi="Arial" w:cs="Arial"/>
          <w:lang w:val="en-US"/>
        </w:rPr>
        <w:t>ost</w:t>
      </w:r>
      <w:r w:rsidR="008348AD">
        <w:rPr>
          <w:rFonts w:ascii="Arial" w:hAnsi="Arial" w:cs="Arial"/>
          <w:lang w:val="en-US"/>
        </w:rPr>
        <w:t>-D</w:t>
      </w:r>
      <w:r w:rsidRPr="00B3415E">
        <w:rPr>
          <w:rFonts w:ascii="Arial" w:hAnsi="Arial" w:cs="Arial"/>
          <w:lang w:val="en-US"/>
        </w:rPr>
        <w:t xml:space="preserve">oc </w:t>
      </w:r>
    </w:p>
    <w:p w14:paraId="5C13A6E0" w14:textId="027ACAA7" w:rsidR="00F15EB4" w:rsidRPr="00B3415E" w:rsidRDefault="00F15EB4"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3415E">
        <w:rPr>
          <w:rFonts w:ascii="Arial" w:hAnsi="Arial" w:cs="Arial"/>
          <w:lang w:val="en-US"/>
        </w:rPr>
        <w:t>Fabio Pucci, postgraduate research fellow</w:t>
      </w:r>
    </w:p>
    <w:p w14:paraId="74D67FFF" w14:textId="6323CFA3" w:rsidR="00FD54BF" w:rsidRPr="00B3415E" w:rsidRDefault="00FD54BF"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2417F220" w14:textId="77777777" w:rsidR="00053C76" w:rsidRPr="00B3415E" w:rsidRDefault="00053C76" w:rsidP="00B3415E">
      <w:pPr>
        <w:rPr>
          <w:rFonts w:ascii="Arial" w:hAnsi="Arial" w:cs="Arial"/>
          <w:lang w:val="en-US"/>
        </w:rPr>
      </w:pPr>
    </w:p>
    <w:p w14:paraId="59BDA3FB" w14:textId="089AC41F" w:rsidR="00053C76" w:rsidRPr="00B3415E" w:rsidRDefault="00053C76" w:rsidP="00B3415E">
      <w:pPr>
        <w:rPr>
          <w:rFonts w:ascii="Arial" w:hAnsi="Arial" w:cs="Arial"/>
          <w:b/>
          <w:bCs/>
          <w:lang w:val="en-US"/>
        </w:rPr>
      </w:pPr>
      <w:r w:rsidRPr="00B3415E">
        <w:rPr>
          <w:rFonts w:ascii="Arial" w:hAnsi="Arial" w:cs="Arial"/>
          <w:b/>
          <w:bCs/>
          <w:lang w:val="en-US"/>
        </w:rPr>
        <w:t>RESEARCH FIELD</w:t>
      </w:r>
    </w:p>
    <w:p w14:paraId="0E4EAD99" w14:textId="701AF6C7" w:rsidR="00053C76" w:rsidRPr="00B3415E" w:rsidRDefault="00180CFC"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3415E">
        <w:rPr>
          <w:rFonts w:ascii="Arial" w:hAnsi="Arial" w:cs="Arial"/>
          <w:lang w:val="en-US"/>
        </w:rPr>
        <w:t xml:space="preserve">Role of serine-threonine kinase HIPK2 and </w:t>
      </w:r>
      <w:r w:rsidR="00B25828" w:rsidRPr="00B3415E">
        <w:rPr>
          <w:rFonts w:ascii="Arial" w:hAnsi="Arial" w:cs="Arial"/>
          <w:lang w:val="en-US"/>
        </w:rPr>
        <w:t>chromatinic</w:t>
      </w:r>
      <w:r w:rsidRPr="00B3415E">
        <w:rPr>
          <w:rFonts w:ascii="Arial" w:hAnsi="Arial" w:cs="Arial"/>
          <w:lang w:val="en-US"/>
        </w:rPr>
        <w:t xml:space="preserve"> protein HMGA in </w:t>
      </w:r>
      <w:r w:rsidR="00907522" w:rsidRPr="00B3415E">
        <w:rPr>
          <w:rFonts w:ascii="Arial" w:hAnsi="Arial" w:cs="Arial"/>
          <w:lang w:val="en-US"/>
        </w:rPr>
        <w:t xml:space="preserve">neurodegenerative disorders </w:t>
      </w:r>
      <w:r w:rsidR="004C7576" w:rsidRPr="00B3415E">
        <w:rPr>
          <w:rFonts w:ascii="Arial" w:hAnsi="Arial" w:cs="Arial"/>
          <w:lang w:val="en-US"/>
        </w:rPr>
        <w:t xml:space="preserve">and </w:t>
      </w:r>
      <w:r w:rsidRPr="00B3415E">
        <w:rPr>
          <w:rFonts w:ascii="Arial" w:hAnsi="Arial" w:cs="Arial"/>
          <w:lang w:val="en-US"/>
        </w:rPr>
        <w:t>in</w:t>
      </w:r>
      <w:r w:rsidR="00907522" w:rsidRPr="00B3415E">
        <w:rPr>
          <w:rFonts w:ascii="Arial" w:hAnsi="Arial" w:cs="Arial"/>
          <w:lang w:val="en-US"/>
        </w:rPr>
        <w:t xml:space="preserve"> tumorigenesis.</w:t>
      </w:r>
    </w:p>
    <w:p w14:paraId="0A366C3B" w14:textId="77777777" w:rsidR="00F877D5" w:rsidRPr="00B3415E" w:rsidRDefault="00F877D5" w:rsidP="00B3415E">
      <w:pPr>
        <w:rPr>
          <w:rFonts w:ascii="Arial" w:hAnsi="Arial" w:cs="Arial"/>
          <w:lang w:val="en-US"/>
        </w:rPr>
      </w:pPr>
    </w:p>
    <w:p w14:paraId="31461A76" w14:textId="59A65ED1" w:rsidR="00F877D5" w:rsidRPr="00B3415E" w:rsidRDefault="00F877D5" w:rsidP="00B3415E">
      <w:pPr>
        <w:rPr>
          <w:rFonts w:ascii="Arial" w:hAnsi="Arial" w:cs="Arial"/>
          <w:lang w:val="en-US"/>
        </w:rPr>
      </w:pPr>
      <w:r w:rsidRPr="00B3415E">
        <w:rPr>
          <w:rFonts w:ascii="Arial" w:hAnsi="Arial" w:cs="Arial"/>
          <w:b/>
          <w:bCs/>
          <w:lang w:val="en-US"/>
        </w:rPr>
        <w:t>KEYWORDS</w:t>
      </w:r>
      <w:r w:rsidRPr="00B3415E">
        <w:rPr>
          <w:rFonts w:ascii="Arial" w:hAnsi="Arial" w:cs="Arial"/>
          <w:lang w:val="en-US"/>
        </w:rPr>
        <w:t xml:space="preserve"> </w:t>
      </w:r>
    </w:p>
    <w:p w14:paraId="6971F0AA" w14:textId="7D1A39A3" w:rsidR="00F877D5" w:rsidRPr="00B3415E" w:rsidRDefault="00756D3B"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3415E">
        <w:rPr>
          <w:rFonts w:ascii="Arial" w:hAnsi="Arial" w:cs="Arial"/>
          <w:lang w:val="en-US"/>
        </w:rPr>
        <w:t xml:space="preserve">Neuroscience, neurodegenerative disorders, molecular oncology, </w:t>
      </w:r>
      <w:r w:rsidR="00DD6544" w:rsidRPr="00B3415E">
        <w:rPr>
          <w:rFonts w:ascii="Arial" w:hAnsi="Arial" w:cs="Arial"/>
          <w:lang w:val="en-US"/>
        </w:rPr>
        <w:t xml:space="preserve">pathogenesis of diseases, </w:t>
      </w:r>
      <w:r w:rsidRPr="00B3415E">
        <w:rPr>
          <w:rFonts w:ascii="Arial" w:hAnsi="Arial" w:cs="Arial"/>
          <w:lang w:val="en-US"/>
        </w:rPr>
        <w:t>in vivo mouse models</w:t>
      </w:r>
    </w:p>
    <w:p w14:paraId="532A94C1" w14:textId="77777777" w:rsidR="00F877D5" w:rsidRPr="00B3415E" w:rsidRDefault="00F877D5"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68F83D14" w14:textId="77777777" w:rsidR="00FD54BF" w:rsidRPr="00B3415E" w:rsidRDefault="00FD54BF" w:rsidP="00B3415E">
      <w:pPr>
        <w:rPr>
          <w:rFonts w:ascii="Arial" w:hAnsi="Arial" w:cs="Arial"/>
          <w:lang w:val="en-US"/>
        </w:rPr>
      </w:pPr>
    </w:p>
    <w:p w14:paraId="3BBC079D" w14:textId="109C5CF2" w:rsidR="00FD54BF" w:rsidRPr="00B3415E" w:rsidRDefault="00FD54BF" w:rsidP="00B3415E">
      <w:pPr>
        <w:rPr>
          <w:rFonts w:ascii="Arial" w:hAnsi="Arial" w:cs="Arial"/>
          <w:lang w:val="en-US"/>
        </w:rPr>
      </w:pPr>
      <w:r w:rsidRPr="00B3415E">
        <w:rPr>
          <w:rFonts w:ascii="Arial" w:hAnsi="Arial" w:cs="Arial"/>
          <w:b/>
          <w:bCs/>
          <w:lang w:val="en-US"/>
        </w:rPr>
        <w:t>ABSTRACT</w:t>
      </w:r>
      <w:r w:rsidRPr="00B3415E">
        <w:rPr>
          <w:rFonts w:ascii="Arial" w:hAnsi="Arial" w:cs="Arial"/>
          <w:lang w:val="en-US"/>
        </w:rPr>
        <w:t xml:space="preserve"> </w:t>
      </w:r>
    </w:p>
    <w:p w14:paraId="68162014" w14:textId="263D16B1" w:rsidR="00FD54BF" w:rsidRPr="00391427" w:rsidRDefault="0068258E" w:rsidP="00B3415E">
      <w:pPr>
        <w:pBdr>
          <w:top w:val="single" w:sz="4" w:space="1" w:color="auto"/>
          <w:left w:val="single" w:sz="4" w:space="4" w:color="auto"/>
          <w:bottom w:val="single" w:sz="4" w:space="1" w:color="auto"/>
          <w:right w:val="single" w:sz="4" w:space="4" w:color="auto"/>
        </w:pBdr>
        <w:rPr>
          <w:rFonts w:ascii="Arial" w:hAnsi="Arial" w:cs="Arial"/>
          <w:lang w:val="en-US"/>
        </w:rPr>
      </w:pPr>
      <w:r>
        <w:rPr>
          <w:rFonts w:ascii="Arial" w:eastAsia="Times New Roman" w:hAnsi="Arial" w:cs="Arial"/>
          <w:iCs/>
          <w:kern w:val="0"/>
          <w:lang w:val="en-US" w:eastAsia="it-IT"/>
          <w14:ligatures w14:val="none"/>
        </w:rPr>
        <w:t>The</w:t>
      </w:r>
      <w:r w:rsidR="00391427" w:rsidRPr="00391427">
        <w:rPr>
          <w:rFonts w:ascii="Arial" w:eastAsia="Times New Roman" w:hAnsi="Arial" w:cs="Arial"/>
          <w:iCs/>
          <w:kern w:val="0"/>
          <w:lang w:val="en-US" w:eastAsia="it-IT"/>
          <w14:ligatures w14:val="none"/>
        </w:rPr>
        <w:t xml:space="preserve"> activity </w:t>
      </w:r>
      <w:r>
        <w:rPr>
          <w:rFonts w:ascii="Arial" w:eastAsia="Times New Roman" w:hAnsi="Arial" w:cs="Arial"/>
          <w:iCs/>
          <w:kern w:val="0"/>
          <w:lang w:val="en-US" w:eastAsia="it-IT"/>
          <w14:ligatures w14:val="none"/>
        </w:rPr>
        <w:t xml:space="preserve">of my research group </w:t>
      </w:r>
      <w:r w:rsidR="00391427" w:rsidRPr="00391427">
        <w:rPr>
          <w:rFonts w:ascii="Arial" w:eastAsia="Times New Roman" w:hAnsi="Arial" w:cs="Arial"/>
          <w:iCs/>
          <w:kern w:val="0"/>
          <w:lang w:val="en-US" w:eastAsia="it-IT"/>
          <w14:ligatures w14:val="none"/>
        </w:rPr>
        <w:t>is mostly dedicated to the study</w:t>
      </w:r>
      <w:r w:rsidR="00391427">
        <w:rPr>
          <w:rFonts w:ascii="Arial" w:eastAsia="Times New Roman" w:hAnsi="Arial" w:cs="Arial"/>
          <w:iCs/>
          <w:kern w:val="0"/>
          <w:lang w:val="en-US" w:eastAsia="it-IT"/>
          <w14:ligatures w14:val="none"/>
        </w:rPr>
        <w:t xml:space="preserve"> of </w:t>
      </w:r>
      <w:r w:rsidR="00F05E18">
        <w:rPr>
          <w:rFonts w:ascii="Arial" w:eastAsia="Times New Roman" w:hAnsi="Arial" w:cs="Arial"/>
          <w:iCs/>
          <w:kern w:val="0"/>
          <w:lang w:val="en-US" w:eastAsia="it-IT"/>
          <w14:ligatures w14:val="none"/>
        </w:rPr>
        <w:t>functional interplay of the oncosuppressor serine-threonine kinase HIPK2 and its substrate</w:t>
      </w:r>
      <w:r w:rsidR="008734ED">
        <w:rPr>
          <w:rFonts w:ascii="Arial" w:eastAsia="Times New Roman" w:hAnsi="Arial" w:cs="Arial"/>
          <w:iCs/>
          <w:kern w:val="0"/>
          <w:lang w:val="en-US" w:eastAsia="it-IT"/>
          <w14:ligatures w14:val="none"/>
        </w:rPr>
        <w:t>, the</w:t>
      </w:r>
      <w:r w:rsidR="00F05E18">
        <w:rPr>
          <w:rFonts w:ascii="Arial" w:eastAsia="Times New Roman" w:hAnsi="Arial" w:cs="Arial"/>
          <w:iCs/>
          <w:kern w:val="0"/>
          <w:lang w:val="en-US" w:eastAsia="it-IT"/>
          <w14:ligatures w14:val="none"/>
        </w:rPr>
        <w:t xml:space="preserve"> oncogenic chromatinic HMGA1 protein</w:t>
      </w:r>
      <w:r w:rsidR="008734ED">
        <w:rPr>
          <w:rFonts w:ascii="Arial" w:eastAsia="Times New Roman" w:hAnsi="Arial" w:cs="Arial"/>
          <w:iCs/>
          <w:kern w:val="0"/>
          <w:lang w:val="en-US" w:eastAsia="it-IT"/>
          <w14:ligatures w14:val="none"/>
        </w:rPr>
        <w:t xml:space="preserve">, </w:t>
      </w:r>
      <w:r w:rsidR="00F82C7A">
        <w:rPr>
          <w:rFonts w:ascii="Arial" w:eastAsia="Times New Roman" w:hAnsi="Arial" w:cs="Arial"/>
          <w:iCs/>
          <w:kern w:val="0"/>
          <w:lang w:val="en-US" w:eastAsia="it-IT"/>
          <w14:ligatures w14:val="none"/>
        </w:rPr>
        <w:t>through</w:t>
      </w:r>
      <w:r w:rsidR="00F05E18">
        <w:rPr>
          <w:rFonts w:ascii="Arial" w:eastAsia="Times New Roman" w:hAnsi="Arial" w:cs="Arial"/>
          <w:iCs/>
          <w:kern w:val="0"/>
          <w:lang w:val="en-US" w:eastAsia="it-IT"/>
          <w14:ligatures w14:val="none"/>
        </w:rPr>
        <w:t xml:space="preserve"> biochemical molecular biology </w:t>
      </w:r>
      <w:r w:rsidR="0042718D">
        <w:rPr>
          <w:rFonts w:ascii="Arial" w:eastAsia="Times New Roman" w:hAnsi="Arial" w:cs="Arial"/>
          <w:iCs/>
          <w:kern w:val="0"/>
          <w:lang w:val="en-US" w:eastAsia="it-IT"/>
          <w14:ligatures w14:val="none"/>
        </w:rPr>
        <w:t xml:space="preserve">approach </w:t>
      </w:r>
      <w:r w:rsidR="00F05E18">
        <w:rPr>
          <w:rFonts w:ascii="Arial" w:eastAsia="Times New Roman" w:hAnsi="Arial" w:cs="Arial"/>
          <w:iCs/>
          <w:kern w:val="0"/>
          <w:lang w:val="en-US" w:eastAsia="it-IT"/>
          <w14:ligatures w14:val="none"/>
        </w:rPr>
        <w:t xml:space="preserve">and omics methodologies </w:t>
      </w:r>
      <w:r w:rsidR="00F82C7A">
        <w:rPr>
          <w:rFonts w:ascii="Arial" w:eastAsia="Times New Roman" w:hAnsi="Arial" w:cs="Arial"/>
          <w:iCs/>
          <w:kern w:val="0"/>
          <w:lang w:val="en-US" w:eastAsia="it-IT"/>
          <w14:ligatures w14:val="none"/>
        </w:rPr>
        <w:t xml:space="preserve">by using also </w:t>
      </w:r>
      <w:r w:rsidR="00F05E18">
        <w:rPr>
          <w:rFonts w:ascii="Arial" w:eastAsia="Times New Roman" w:hAnsi="Arial" w:cs="Arial"/>
          <w:iCs/>
          <w:kern w:val="0"/>
          <w:lang w:val="en-US" w:eastAsia="it-IT"/>
          <w14:ligatures w14:val="none"/>
        </w:rPr>
        <w:t xml:space="preserve">knock-out murine models. </w:t>
      </w:r>
      <w:r w:rsidR="00D83D1E">
        <w:rPr>
          <w:rFonts w:ascii="Arial" w:eastAsia="Times New Roman" w:hAnsi="Arial" w:cs="Arial"/>
          <w:iCs/>
          <w:kern w:val="0"/>
          <w:lang w:val="en-US" w:eastAsia="it-IT"/>
          <w14:ligatures w14:val="none"/>
        </w:rPr>
        <w:t xml:space="preserve">In </w:t>
      </w:r>
      <w:r>
        <w:rPr>
          <w:rFonts w:ascii="Arial" w:eastAsia="Times New Roman" w:hAnsi="Arial" w:cs="Arial"/>
          <w:iCs/>
          <w:kern w:val="0"/>
          <w:lang w:val="en-US" w:eastAsia="it-IT"/>
          <w14:ligatures w14:val="none"/>
        </w:rPr>
        <w:t>the last years</w:t>
      </w:r>
      <w:r w:rsidR="00D83D1E">
        <w:rPr>
          <w:rFonts w:ascii="Arial" w:eastAsia="Times New Roman" w:hAnsi="Arial" w:cs="Arial"/>
          <w:iCs/>
          <w:kern w:val="0"/>
          <w:lang w:val="en-US" w:eastAsia="it-IT"/>
          <w14:ligatures w14:val="none"/>
        </w:rPr>
        <w:t>, my research</w:t>
      </w:r>
      <w:r w:rsidR="00F05E18">
        <w:rPr>
          <w:rFonts w:ascii="Arial" w:eastAsia="Times New Roman" w:hAnsi="Arial" w:cs="Arial"/>
          <w:iCs/>
          <w:kern w:val="0"/>
          <w:lang w:val="en-US" w:eastAsia="it-IT"/>
          <w14:ligatures w14:val="none"/>
        </w:rPr>
        <w:t xml:space="preserve"> is focused on the </w:t>
      </w:r>
      <w:r>
        <w:rPr>
          <w:rFonts w:ascii="Arial" w:eastAsia="Times New Roman" w:hAnsi="Arial" w:cs="Arial"/>
          <w:iCs/>
          <w:kern w:val="0"/>
          <w:lang w:val="en-US" w:eastAsia="it-IT"/>
          <w14:ligatures w14:val="none"/>
        </w:rPr>
        <w:t xml:space="preserve">characterization of the </w:t>
      </w:r>
      <w:r w:rsidR="00F05E18">
        <w:rPr>
          <w:rFonts w:ascii="Arial" w:eastAsia="Times New Roman" w:hAnsi="Arial" w:cs="Arial"/>
          <w:iCs/>
          <w:kern w:val="0"/>
          <w:lang w:val="en-US" w:eastAsia="it-IT"/>
          <w14:ligatures w14:val="none"/>
        </w:rPr>
        <w:t xml:space="preserve">role of the HIPK2/HMGA1 complex in development and during adult life in nervous system, </w:t>
      </w:r>
      <w:r>
        <w:rPr>
          <w:rFonts w:ascii="Arial" w:eastAsia="Times New Roman" w:hAnsi="Arial" w:cs="Arial"/>
          <w:iCs/>
          <w:kern w:val="0"/>
          <w:lang w:val="en-US" w:eastAsia="it-IT"/>
          <w14:ligatures w14:val="none"/>
        </w:rPr>
        <w:t>investigating, in particular, how HIPK2/HMGA1 complex dysfunction may be correlated to the development of several neurological diseases</w:t>
      </w:r>
      <w:r w:rsidR="00F05E18">
        <w:rPr>
          <w:rFonts w:ascii="Arial" w:eastAsia="Times New Roman" w:hAnsi="Arial" w:cs="Arial"/>
          <w:iCs/>
          <w:kern w:val="0"/>
          <w:lang w:val="en-US" w:eastAsia="it-IT"/>
          <w14:ligatures w14:val="none"/>
        </w:rPr>
        <w:t xml:space="preserve"> (cerebellar ataxia, Alzheimer’s disease, amyotrophic lateral sclerosis) and in different brain tumors.</w:t>
      </w:r>
    </w:p>
    <w:p w14:paraId="69EC8789" w14:textId="77777777" w:rsidR="00FD54BF" w:rsidRPr="00B3415E" w:rsidRDefault="00FD54BF"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691B5FA7" w14:textId="37DC74B2" w:rsidR="00F877D5" w:rsidRPr="00B3415E" w:rsidRDefault="00F877D5"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7ED61725" w14:textId="77777777" w:rsidR="00F877D5" w:rsidRPr="00B3415E" w:rsidRDefault="00F877D5"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65D046DC" w14:textId="77777777" w:rsidR="00FD54BF" w:rsidRPr="00B3415E" w:rsidRDefault="00FD54BF" w:rsidP="00B3415E">
      <w:pPr>
        <w:rPr>
          <w:rFonts w:ascii="Arial" w:hAnsi="Arial" w:cs="Arial"/>
          <w:lang w:val="en-US"/>
        </w:rPr>
      </w:pPr>
    </w:p>
    <w:p w14:paraId="2F42934F" w14:textId="3EFD774A" w:rsidR="00FD54BF" w:rsidRPr="00B3415E" w:rsidRDefault="009F211E" w:rsidP="00B3415E">
      <w:pPr>
        <w:rPr>
          <w:rFonts w:ascii="Arial" w:hAnsi="Arial" w:cs="Arial"/>
          <w:lang w:val="en-US"/>
        </w:rPr>
      </w:pPr>
      <w:r w:rsidRPr="00B3415E">
        <w:rPr>
          <w:rFonts w:ascii="Arial" w:hAnsi="Arial" w:cs="Arial"/>
          <w:b/>
          <w:bCs/>
          <w:lang w:val="en-US"/>
        </w:rPr>
        <w:t>PUBLICATIONS</w:t>
      </w:r>
      <w:r w:rsidR="00FD54BF" w:rsidRPr="00B3415E">
        <w:rPr>
          <w:rFonts w:ascii="Arial" w:hAnsi="Arial" w:cs="Arial"/>
          <w:lang w:val="en-US"/>
        </w:rPr>
        <w:t xml:space="preserve"> </w:t>
      </w:r>
    </w:p>
    <w:p w14:paraId="20735D55" w14:textId="6A304C17" w:rsidR="00FD54BF" w:rsidRPr="00B25828" w:rsidRDefault="00B25828"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25828">
        <w:rPr>
          <w:rFonts w:ascii="Arial" w:hAnsi="Arial" w:cs="Arial"/>
        </w:rPr>
        <w:t xml:space="preserve">Mirabelli M, Chiefari E, Arcidiacono B, Salatino A, Pascarella A, Morelli M, Credendino SC, Brunetti FS, Di Vito A, Greco A, Huin V, Nicoletti F, Pierantoni GM, Fedele M, Aguglia U, Foti DP, Brunetti A. HMGA1 deficiency: a pathogenic link between tau pathology and insulin resistance. </w:t>
      </w:r>
      <w:r w:rsidRPr="00B25828">
        <w:rPr>
          <w:rFonts w:ascii="Arial" w:hAnsi="Arial" w:cs="Arial"/>
          <w:lang w:val="en-US"/>
        </w:rPr>
        <w:t>EBioMedicine. 2025 May;115:105700. doi: 10.1016/j.ebiom.2025.105700</w:t>
      </w:r>
    </w:p>
    <w:p w14:paraId="09B54786" w14:textId="77777777" w:rsidR="00FD54BF" w:rsidRPr="00B3415E" w:rsidRDefault="00FD54BF"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43510159" w14:textId="59E3F215" w:rsidR="00FD54BF" w:rsidRPr="00B3415E" w:rsidRDefault="00B25828"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25828">
        <w:rPr>
          <w:rFonts w:ascii="Arial" w:hAnsi="Arial" w:cs="Arial"/>
          <w:lang w:val="en-US"/>
        </w:rPr>
        <w:t xml:space="preserve">Anzilotti S, Valente V, Brancaccio P, Franco C, Casamassa A, Lombardi G, Palazzi A, Conte A, Paladino S, Canzoniero LMT, Annunziato L, Pierantoni GM, Pignataro G. Chronic exposure to l-BMAA cyanotoxin induces cytoplasmic TDP-43 accumulation and glial activation, reproducing an amyotrophic lateral sclerosis-like phenotype in mice. </w:t>
      </w:r>
      <w:r w:rsidRPr="00B023E9">
        <w:rPr>
          <w:rFonts w:ascii="Arial" w:hAnsi="Arial" w:cs="Arial"/>
          <w:lang w:val="en-US"/>
        </w:rPr>
        <w:t xml:space="preserve">Biomed Pharmacother. 2023 Nov;167:115503. doi: 10.1016/j.biopha.2023.115503. </w:t>
      </w:r>
    </w:p>
    <w:p w14:paraId="20EB8E3F" w14:textId="77777777" w:rsidR="00B25828" w:rsidRDefault="00B25828"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6588EB8D" w14:textId="18CB06C5" w:rsidR="00FD54BF" w:rsidRDefault="00B25828"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023E9">
        <w:rPr>
          <w:rFonts w:ascii="Arial" w:hAnsi="Arial" w:cs="Arial"/>
          <w:lang w:val="en-US"/>
        </w:rPr>
        <w:lastRenderedPageBreak/>
        <w:t xml:space="preserve">Conte A, Valente V, Paladino S, Pierantoni GM. </w:t>
      </w:r>
      <w:r w:rsidRPr="00B25828">
        <w:rPr>
          <w:rFonts w:ascii="Arial" w:hAnsi="Arial" w:cs="Arial"/>
          <w:lang w:val="en-US"/>
        </w:rPr>
        <w:t xml:space="preserve">HIPK2 in cancer biology and therapy: Recent findings and future perspectives. </w:t>
      </w:r>
      <w:r w:rsidRPr="00B023E9">
        <w:rPr>
          <w:rFonts w:ascii="Arial" w:hAnsi="Arial" w:cs="Arial"/>
          <w:lang w:val="en-US"/>
        </w:rPr>
        <w:t xml:space="preserve">Cell Signal. 2023 Jan;101:110491. doi: 10.1016/j.cellsig.2022.110491. </w:t>
      </w:r>
    </w:p>
    <w:p w14:paraId="11972F58" w14:textId="77777777" w:rsidR="008348AD" w:rsidRPr="00B023E9" w:rsidRDefault="008348AD"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23654756" w14:textId="70000A39" w:rsidR="00B25828" w:rsidRDefault="00B25828" w:rsidP="00B3415E">
      <w:pPr>
        <w:pBdr>
          <w:top w:val="single" w:sz="4" w:space="1" w:color="auto"/>
          <w:left w:val="single" w:sz="4" w:space="4" w:color="auto"/>
          <w:bottom w:val="single" w:sz="4" w:space="1" w:color="auto"/>
          <w:right w:val="single" w:sz="4" w:space="4" w:color="auto"/>
        </w:pBdr>
        <w:rPr>
          <w:rFonts w:ascii="Arial" w:hAnsi="Arial" w:cs="Arial"/>
        </w:rPr>
      </w:pPr>
      <w:r w:rsidRPr="00B023E9">
        <w:rPr>
          <w:rFonts w:ascii="Arial" w:hAnsi="Arial" w:cs="Arial"/>
          <w:lang w:val="en-US"/>
        </w:rPr>
        <w:t xml:space="preserve">De Rosa L, Fasano D, Zerillo L, Valente V, Izzo A, Mollo N, Amodio G, Polishchuk E, Polishchuk R, Melone MAB, Criscuolo C, Conti A, Nitsch L, Remondelli P, Pierantoni GM, Paladino S. Down Syndrome Fetal Fibroblasts Display Alterations of Endosomal Trafficking Possibly due to SYNJ1 Overexpression. </w:t>
      </w:r>
      <w:r w:rsidRPr="00B25828">
        <w:rPr>
          <w:rFonts w:ascii="Arial" w:hAnsi="Arial" w:cs="Arial"/>
        </w:rPr>
        <w:t xml:space="preserve">Front Genet. 2022 May 13;13:867989. doi: 10.3389/fgene.2022.867989. </w:t>
      </w:r>
    </w:p>
    <w:p w14:paraId="4BD23D0C" w14:textId="77777777" w:rsidR="00B25828" w:rsidRPr="00B25828" w:rsidRDefault="00B25828" w:rsidP="00B3415E">
      <w:pPr>
        <w:pBdr>
          <w:top w:val="single" w:sz="4" w:space="1" w:color="auto"/>
          <w:left w:val="single" w:sz="4" w:space="4" w:color="auto"/>
          <w:bottom w:val="single" w:sz="4" w:space="1" w:color="auto"/>
          <w:right w:val="single" w:sz="4" w:space="4" w:color="auto"/>
        </w:pBdr>
        <w:rPr>
          <w:rFonts w:ascii="Arial" w:hAnsi="Arial" w:cs="Arial"/>
        </w:rPr>
      </w:pPr>
    </w:p>
    <w:p w14:paraId="335E6426" w14:textId="106A6985" w:rsidR="00FD54BF" w:rsidRPr="00B25828" w:rsidRDefault="00B25828" w:rsidP="00B3415E">
      <w:pPr>
        <w:pBdr>
          <w:top w:val="single" w:sz="4" w:space="1" w:color="auto"/>
          <w:left w:val="single" w:sz="4" w:space="4" w:color="auto"/>
          <w:bottom w:val="single" w:sz="4" w:space="1" w:color="auto"/>
          <w:right w:val="single" w:sz="4" w:space="4" w:color="auto"/>
        </w:pBdr>
        <w:rPr>
          <w:rFonts w:ascii="Arial" w:hAnsi="Arial" w:cs="Arial"/>
          <w:lang w:val="en-US"/>
        </w:rPr>
      </w:pPr>
      <w:r w:rsidRPr="00B25828">
        <w:rPr>
          <w:rFonts w:ascii="Arial" w:hAnsi="Arial" w:cs="Arial"/>
        </w:rPr>
        <w:t xml:space="preserve">De Biase D, Valente V, Conte A, Cammarota F, Boccella N, D'Esposito L, d'Aquino I, Paciello O, Paladino S, Pierantoni GM. </w:t>
      </w:r>
      <w:r w:rsidRPr="00B25828">
        <w:rPr>
          <w:rFonts w:ascii="Arial" w:hAnsi="Arial" w:cs="Arial"/>
          <w:lang w:val="en-US"/>
        </w:rPr>
        <w:t>Phenotypic Effects of Homeodomain-Interacting Protein Kinase 2 Deletion in Mice. Int J Mol Sci. 2021 Aug 2;22(15):8294. doi: 10.3390/ijms22158294.</w:t>
      </w:r>
    </w:p>
    <w:p w14:paraId="25977EC1" w14:textId="77777777" w:rsidR="00FD54BF" w:rsidRPr="00B3415E" w:rsidRDefault="00FD54BF" w:rsidP="00B3415E">
      <w:pPr>
        <w:pBdr>
          <w:top w:val="single" w:sz="4" w:space="1" w:color="auto"/>
          <w:left w:val="single" w:sz="4" w:space="4" w:color="auto"/>
          <w:bottom w:val="single" w:sz="4" w:space="1" w:color="auto"/>
          <w:right w:val="single" w:sz="4" w:space="4" w:color="auto"/>
        </w:pBdr>
        <w:rPr>
          <w:rFonts w:ascii="Arial" w:hAnsi="Arial" w:cs="Arial"/>
          <w:lang w:val="en-US"/>
        </w:rPr>
      </w:pPr>
    </w:p>
    <w:p w14:paraId="6730BE66" w14:textId="77777777" w:rsidR="00FD54BF" w:rsidRPr="00B3415E" w:rsidRDefault="00FD54BF" w:rsidP="00B3415E">
      <w:pPr>
        <w:rPr>
          <w:rFonts w:ascii="Arial" w:hAnsi="Arial" w:cs="Arial"/>
          <w:lang w:val="en-US"/>
        </w:rPr>
      </w:pPr>
    </w:p>
    <w:p w14:paraId="123A8834" w14:textId="1CD63397" w:rsidR="00FD54BF" w:rsidRPr="00B3415E" w:rsidRDefault="009F211E" w:rsidP="00B3415E">
      <w:pPr>
        <w:rPr>
          <w:rFonts w:ascii="Arial" w:hAnsi="Arial" w:cs="Arial"/>
          <w:lang w:val="en-US"/>
        </w:rPr>
      </w:pPr>
      <w:r w:rsidRPr="00B3415E">
        <w:rPr>
          <w:rFonts w:ascii="Arial" w:hAnsi="Arial" w:cs="Arial"/>
          <w:b/>
          <w:bCs/>
          <w:lang w:val="en-US"/>
        </w:rPr>
        <w:t>FUNDING</w:t>
      </w:r>
      <w:r w:rsidRPr="00B3415E">
        <w:rPr>
          <w:rFonts w:ascii="Arial" w:hAnsi="Arial" w:cs="Arial"/>
          <w:lang w:val="en-US"/>
        </w:rPr>
        <w:t xml:space="preserve"> </w:t>
      </w:r>
    </w:p>
    <w:p w14:paraId="4DD81C2A" w14:textId="180C69FC" w:rsidR="00FD6FDA" w:rsidRPr="00B3415E" w:rsidRDefault="00FD6FDA" w:rsidP="00B3415E">
      <w:pPr>
        <w:pStyle w:val="Corpotesto"/>
        <w:pBdr>
          <w:top w:val="single" w:sz="4" w:space="1" w:color="auto"/>
          <w:left w:val="single" w:sz="4" w:space="4" w:color="auto"/>
          <w:bottom w:val="single" w:sz="4" w:space="1" w:color="auto"/>
          <w:right w:val="single" w:sz="4" w:space="4" w:color="auto"/>
        </w:pBdr>
        <w:tabs>
          <w:tab w:val="left" w:pos="709"/>
        </w:tabs>
        <w:spacing w:before="0" w:beforeAutospacing="0" w:after="0" w:afterAutospacing="0"/>
        <w:jc w:val="both"/>
        <w:rPr>
          <w:rFonts w:ascii="Arial" w:hAnsi="Arial" w:cs="Arial"/>
          <w:iCs/>
        </w:rPr>
      </w:pPr>
      <w:r w:rsidRPr="00B3415E">
        <w:rPr>
          <w:rFonts w:ascii="Arial" w:hAnsi="Arial" w:cs="Arial"/>
          <w:b/>
          <w:bCs/>
          <w:iCs/>
          <w:lang w:val="en-US"/>
        </w:rPr>
        <w:t>2022-2025:</w:t>
      </w:r>
      <w:r w:rsidRPr="00B3415E">
        <w:rPr>
          <w:rFonts w:ascii="Arial" w:hAnsi="Arial" w:cs="Arial"/>
          <w:iCs/>
          <w:lang w:val="en-US"/>
        </w:rPr>
        <w:t xml:space="preserve"> </w:t>
      </w:r>
      <w:r w:rsidRPr="00B3415E">
        <w:rPr>
          <w:rFonts w:ascii="Arial" w:hAnsi="Arial" w:cs="Arial"/>
          <w:b/>
          <w:bCs/>
          <w:iCs/>
          <w:lang w:val="en-US"/>
        </w:rPr>
        <w:t>Principal Investigator</w:t>
      </w:r>
      <w:r w:rsidR="00116782" w:rsidRPr="00116782">
        <w:rPr>
          <w:rFonts w:ascii="Arial" w:hAnsi="Arial" w:cs="Arial"/>
          <w:iCs/>
          <w:lang w:val="en-US"/>
        </w:rPr>
        <w:t>,</w:t>
      </w:r>
      <w:r w:rsidR="00116782">
        <w:rPr>
          <w:rFonts w:ascii="Arial" w:hAnsi="Arial" w:cs="Arial"/>
          <w:b/>
          <w:bCs/>
          <w:iCs/>
          <w:lang w:val="en-US"/>
        </w:rPr>
        <w:t xml:space="preserve"> </w:t>
      </w:r>
      <w:r w:rsidRPr="00B3415E">
        <w:rPr>
          <w:rFonts w:ascii="Arial" w:hAnsi="Arial" w:cs="Arial"/>
          <w:iCs/>
          <w:lang w:val="en-US"/>
        </w:rPr>
        <w:t xml:space="preserve">Unit of Ministry of Health -PNRR. </w:t>
      </w:r>
      <w:r w:rsidR="005D2262" w:rsidRPr="00B3415E">
        <w:rPr>
          <w:rFonts w:ascii="Arial" w:hAnsi="Arial" w:cs="Arial"/>
          <w:iCs/>
          <w:lang w:val="en-US"/>
        </w:rPr>
        <w:t>Project title</w:t>
      </w:r>
      <w:r w:rsidRPr="00B3415E">
        <w:rPr>
          <w:rFonts w:ascii="Arial" w:hAnsi="Arial" w:cs="Arial"/>
          <w:iCs/>
          <w:lang w:val="en-US"/>
        </w:rPr>
        <w:t xml:space="preserve">: “A multiscale integrated approach to the study of the nervous system in health and disease”. </w:t>
      </w:r>
      <w:r w:rsidRPr="00B3415E">
        <w:rPr>
          <w:rFonts w:ascii="Arial" w:hAnsi="Arial" w:cs="Arial"/>
          <w:iCs/>
        </w:rPr>
        <w:t>MNESYS, Spoke 3.</w:t>
      </w:r>
    </w:p>
    <w:p w14:paraId="76BD4DDF" w14:textId="124DEF0A" w:rsidR="00FD6FDA" w:rsidRPr="00B3415E" w:rsidRDefault="00FD6FDA" w:rsidP="00B3415E">
      <w:pPr>
        <w:pStyle w:val="Corpotesto"/>
        <w:pBdr>
          <w:top w:val="single" w:sz="4" w:space="1" w:color="auto"/>
          <w:left w:val="single" w:sz="4" w:space="4" w:color="auto"/>
          <w:bottom w:val="single" w:sz="4" w:space="1" w:color="auto"/>
          <w:right w:val="single" w:sz="4" w:space="4" w:color="auto"/>
        </w:pBdr>
        <w:tabs>
          <w:tab w:val="left" w:pos="709"/>
        </w:tabs>
        <w:spacing w:before="0" w:beforeAutospacing="0" w:after="0" w:afterAutospacing="0"/>
        <w:jc w:val="both"/>
        <w:rPr>
          <w:rFonts w:ascii="Arial" w:hAnsi="Arial" w:cs="Arial"/>
          <w:iCs/>
          <w:lang w:val="en-US"/>
        </w:rPr>
      </w:pPr>
      <w:r w:rsidRPr="00B3415E">
        <w:rPr>
          <w:rFonts w:ascii="Arial" w:hAnsi="Arial" w:cs="Arial"/>
          <w:b/>
          <w:bCs/>
          <w:iCs/>
        </w:rPr>
        <w:t>2023-2025:</w:t>
      </w:r>
      <w:r w:rsidRPr="00B3415E">
        <w:rPr>
          <w:rFonts w:ascii="Arial" w:hAnsi="Arial" w:cs="Arial"/>
          <w:iCs/>
        </w:rPr>
        <w:t xml:space="preserve"> </w:t>
      </w:r>
      <w:r w:rsidR="005D2262" w:rsidRPr="00B3415E">
        <w:rPr>
          <w:rFonts w:ascii="Arial" w:hAnsi="Arial" w:cs="Arial"/>
          <w:b/>
          <w:bCs/>
          <w:iCs/>
        </w:rPr>
        <w:t>Principal Investigator</w:t>
      </w:r>
      <w:r w:rsidR="00116782">
        <w:rPr>
          <w:rFonts w:ascii="Arial" w:hAnsi="Arial" w:cs="Arial"/>
          <w:b/>
          <w:bCs/>
          <w:iCs/>
        </w:rPr>
        <w:t xml:space="preserve">, </w:t>
      </w:r>
      <w:r w:rsidRPr="00B3415E">
        <w:rPr>
          <w:rFonts w:ascii="Arial" w:hAnsi="Arial" w:cs="Arial"/>
          <w:iCs/>
        </w:rPr>
        <w:t>PRIN</w:t>
      </w:r>
      <w:r w:rsidRPr="00B3415E">
        <w:rPr>
          <w:rFonts w:ascii="Arial" w:hAnsi="Arial" w:cs="Arial"/>
          <w:color w:val="000000"/>
        </w:rPr>
        <w:t xml:space="preserve"> </w:t>
      </w:r>
      <w:r w:rsidRPr="00B3415E">
        <w:rPr>
          <w:rFonts w:ascii="Arial" w:hAnsi="Arial" w:cs="Arial"/>
          <w:iCs/>
        </w:rPr>
        <w:t xml:space="preserve">2022 -Piano Nazionale di Ripresa e Resilienza, titolarità del Ministero dell’Università e della Ricerca. </w:t>
      </w:r>
      <w:r w:rsidR="00577DB2" w:rsidRPr="00B3415E">
        <w:rPr>
          <w:rFonts w:ascii="Arial" w:hAnsi="Arial" w:cs="Arial"/>
          <w:iCs/>
          <w:lang w:val="en-US"/>
        </w:rPr>
        <w:t>Project title</w:t>
      </w:r>
      <w:r w:rsidRPr="00B3415E">
        <w:rPr>
          <w:rFonts w:ascii="Arial" w:hAnsi="Arial" w:cs="Arial"/>
          <w:iCs/>
          <w:lang w:val="en-US"/>
        </w:rPr>
        <w:t>: “</w:t>
      </w:r>
      <w:r w:rsidR="00A00C17" w:rsidRPr="00B3415E">
        <w:rPr>
          <w:rFonts w:ascii="Arial" w:hAnsi="Arial" w:cs="Arial"/>
          <w:iCs/>
          <w:lang w:val="en-US"/>
        </w:rPr>
        <w:t>Gut-Brain Axis In Parkinson’s Disease: A Multidisciplinary Study For Evaluating The Impact Of Symbiotics On Behavioral, Cognitive And Gastrointestinal Features And Getting More Insights Into Molecular Pathophysiology</w:t>
      </w:r>
      <w:r w:rsidRPr="00B3415E">
        <w:rPr>
          <w:rFonts w:ascii="Arial" w:hAnsi="Arial" w:cs="Arial"/>
          <w:iCs/>
          <w:lang w:val="en-US"/>
        </w:rPr>
        <w:t xml:space="preserve">”. </w:t>
      </w:r>
    </w:p>
    <w:p w14:paraId="57616350" w14:textId="5539B635" w:rsidR="00FD6FDA" w:rsidRPr="00B3415E" w:rsidRDefault="00FD6FDA" w:rsidP="00B3415E">
      <w:pPr>
        <w:pStyle w:val="Corpotesto"/>
        <w:pBdr>
          <w:top w:val="single" w:sz="4" w:space="1" w:color="auto"/>
          <w:left w:val="single" w:sz="4" w:space="4" w:color="auto"/>
          <w:bottom w:val="single" w:sz="4" w:space="1" w:color="auto"/>
          <w:right w:val="single" w:sz="4" w:space="4" w:color="auto"/>
        </w:pBdr>
        <w:tabs>
          <w:tab w:val="left" w:pos="709"/>
        </w:tabs>
        <w:spacing w:before="0" w:beforeAutospacing="0" w:after="0" w:afterAutospacing="0"/>
        <w:jc w:val="both"/>
        <w:rPr>
          <w:rFonts w:ascii="Arial" w:hAnsi="Arial" w:cs="Arial"/>
          <w:iCs/>
          <w:lang w:val="en-US"/>
        </w:rPr>
      </w:pPr>
      <w:r w:rsidRPr="00B3415E">
        <w:rPr>
          <w:rFonts w:ascii="Arial" w:hAnsi="Arial" w:cs="Arial"/>
          <w:b/>
          <w:bCs/>
          <w:iCs/>
        </w:rPr>
        <w:t>2024-2026:</w:t>
      </w:r>
      <w:r w:rsidRPr="00B3415E">
        <w:rPr>
          <w:rFonts w:ascii="Arial" w:hAnsi="Arial" w:cs="Arial"/>
          <w:iCs/>
        </w:rPr>
        <w:t xml:space="preserve"> </w:t>
      </w:r>
      <w:r w:rsidR="005D2262" w:rsidRPr="00B3415E">
        <w:rPr>
          <w:rFonts w:ascii="Arial" w:hAnsi="Arial" w:cs="Arial"/>
          <w:b/>
          <w:bCs/>
          <w:iCs/>
        </w:rPr>
        <w:t>Principal Investigator</w:t>
      </w:r>
      <w:r w:rsidR="00577DB2" w:rsidRPr="00116782">
        <w:rPr>
          <w:rFonts w:ascii="Arial" w:hAnsi="Arial" w:cs="Arial"/>
          <w:b/>
          <w:bCs/>
          <w:iCs/>
        </w:rPr>
        <w:t>,</w:t>
      </w:r>
      <w:r w:rsidR="005D2262" w:rsidRPr="00B3415E">
        <w:rPr>
          <w:rFonts w:ascii="Arial" w:hAnsi="Arial" w:cs="Arial"/>
          <w:b/>
          <w:bCs/>
          <w:iCs/>
        </w:rPr>
        <w:t xml:space="preserve"> </w:t>
      </w:r>
      <w:r w:rsidRPr="00B3415E">
        <w:rPr>
          <w:rFonts w:ascii="Arial" w:hAnsi="Arial" w:cs="Arial"/>
          <w:iCs/>
        </w:rPr>
        <w:t xml:space="preserve">Azienda Ospedaliera Universitaria “Federico II”. </w:t>
      </w:r>
      <w:r w:rsidR="00577DB2" w:rsidRPr="00B3415E">
        <w:rPr>
          <w:rFonts w:ascii="Arial" w:hAnsi="Arial" w:cs="Arial"/>
          <w:iCs/>
          <w:lang w:val="en-US"/>
        </w:rPr>
        <w:t>Project title</w:t>
      </w:r>
      <w:r w:rsidRPr="00B3415E">
        <w:rPr>
          <w:rFonts w:ascii="Arial" w:hAnsi="Arial" w:cs="Arial"/>
          <w:iCs/>
          <w:lang w:val="en-US"/>
        </w:rPr>
        <w:t>: “Epitra</w:t>
      </w:r>
      <w:r w:rsidR="00B25828">
        <w:rPr>
          <w:rFonts w:ascii="Arial" w:hAnsi="Arial" w:cs="Arial"/>
          <w:iCs/>
          <w:lang w:val="en-US"/>
        </w:rPr>
        <w:t>ns</w:t>
      </w:r>
      <w:r w:rsidRPr="00B3415E">
        <w:rPr>
          <w:rFonts w:ascii="Arial" w:hAnsi="Arial" w:cs="Arial"/>
          <w:iCs/>
          <w:lang w:val="en-US"/>
        </w:rPr>
        <w:t xml:space="preserve">criptomic landscape and oncotranscriptomic/proteomic signature in cancer patients for better classification and therapeutic approaches”, PNRR-MCNT1-2023-1237767. </w:t>
      </w:r>
    </w:p>
    <w:p w14:paraId="7E677424" w14:textId="77777777" w:rsidR="005310A5" w:rsidRPr="00B3415E" w:rsidRDefault="005310A5" w:rsidP="00B3415E">
      <w:pPr>
        <w:rPr>
          <w:rFonts w:ascii="Arial" w:hAnsi="Arial" w:cs="Arial"/>
        </w:rPr>
      </w:pPr>
    </w:p>
    <w:p w14:paraId="4916F18C" w14:textId="77777777" w:rsidR="00FD54BF" w:rsidRPr="00B3415E" w:rsidRDefault="00FD54BF" w:rsidP="00B3415E">
      <w:pPr>
        <w:rPr>
          <w:rFonts w:ascii="Arial" w:hAnsi="Arial" w:cs="Arial"/>
        </w:rPr>
      </w:pPr>
    </w:p>
    <w:sectPr w:rsidR="00FD54BF" w:rsidRPr="00B3415E" w:rsidSect="00005835">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BF"/>
    <w:rsid w:val="00005835"/>
    <w:rsid w:val="000508FF"/>
    <w:rsid w:val="00053C76"/>
    <w:rsid w:val="00087874"/>
    <w:rsid w:val="00116782"/>
    <w:rsid w:val="00180CFC"/>
    <w:rsid w:val="00386FDF"/>
    <w:rsid w:val="00391427"/>
    <w:rsid w:val="004076E2"/>
    <w:rsid w:val="0042718D"/>
    <w:rsid w:val="004A0B63"/>
    <w:rsid w:val="004C7576"/>
    <w:rsid w:val="005310A5"/>
    <w:rsid w:val="00546DC9"/>
    <w:rsid w:val="00577DB2"/>
    <w:rsid w:val="005D2262"/>
    <w:rsid w:val="005D3A6D"/>
    <w:rsid w:val="005E3DA9"/>
    <w:rsid w:val="005E5C27"/>
    <w:rsid w:val="00622076"/>
    <w:rsid w:val="0068258E"/>
    <w:rsid w:val="0072609F"/>
    <w:rsid w:val="00756D3B"/>
    <w:rsid w:val="008348AD"/>
    <w:rsid w:val="008734ED"/>
    <w:rsid w:val="0087758B"/>
    <w:rsid w:val="00880BA1"/>
    <w:rsid w:val="008830F8"/>
    <w:rsid w:val="00907522"/>
    <w:rsid w:val="009409FA"/>
    <w:rsid w:val="009879E9"/>
    <w:rsid w:val="009E6120"/>
    <w:rsid w:val="009F211E"/>
    <w:rsid w:val="00A00C17"/>
    <w:rsid w:val="00B023E9"/>
    <w:rsid w:val="00B20A2C"/>
    <w:rsid w:val="00B25828"/>
    <w:rsid w:val="00B3415E"/>
    <w:rsid w:val="00C12D2B"/>
    <w:rsid w:val="00D83D1E"/>
    <w:rsid w:val="00DD6544"/>
    <w:rsid w:val="00EA525D"/>
    <w:rsid w:val="00F05E18"/>
    <w:rsid w:val="00F15EB4"/>
    <w:rsid w:val="00F82C7A"/>
    <w:rsid w:val="00F877D5"/>
    <w:rsid w:val="00FD54BF"/>
    <w:rsid w:val="00FD6F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DE7FB"/>
  <w15:chartTrackingRefBased/>
  <w15:docId w15:val="{F87D8A5B-5CA8-F141-A74C-31D3C49C7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FD5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FD5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FD54BF"/>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FD54BF"/>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FD54BF"/>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FD54BF"/>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paragraph" w:styleId="Titolo">
    <w:name w:val="Title"/>
    <w:basedOn w:val="Normale"/>
    <w:next w:val="Normale"/>
    <w:link w:val="TitoloCarattere"/>
    <w:uiPriority w:val="10"/>
    <w:qFormat/>
    <w:rsid w:val="00FD54BF"/>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FD54B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FD54B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FD54B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basedOn w:val="Normale"/>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basedOn w:val="Normale"/>
    <w:next w:val="Normal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Corpotesto">
    <w:name w:val="Body Text"/>
    <w:basedOn w:val="Normale"/>
    <w:link w:val="CorpotestoCarattere"/>
    <w:rsid w:val="00FD6FDA"/>
    <w:pPr>
      <w:spacing w:before="100" w:beforeAutospacing="1" w:after="100" w:afterAutospacing="1"/>
    </w:pPr>
    <w:rPr>
      <w:rFonts w:ascii="Times New Roman" w:eastAsia="Times New Roman" w:hAnsi="Times New Roman" w:cs="Times New Roman"/>
      <w:kern w:val="0"/>
      <w:lang w:eastAsia="it-IT"/>
      <w14:ligatures w14:val="none"/>
    </w:rPr>
  </w:style>
  <w:style w:type="character" w:customStyle="1" w:styleId="CorpotestoCarattere">
    <w:name w:val="Corpo testo Carattere"/>
    <w:basedOn w:val="Carpredefinitoparagrafo"/>
    <w:link w:val="Corpotesto"/>
    <w:rsid w:val="00FD6FDA"/>
    <w:rPr>
      <w:rFonts w:ascii="Times New Roman" w:eastAsia="Times New Roman" w:hAnsi="Times New Roman" w:cs="Times New Roman"/>
      <w:kern w:val="0"/>
      <w:lang w:eastAsia="it-IT"/>
      <w14:ligatures w14:val="none"/>
    </w:rPr>
  </w:style>
  <w:style w:type="character" w:styleId="Collegamentoipertestuale">
    <w:name w:val="Hyperlink"/>
    <w:basedOn w:val="Carpredefinitoparagrafo"/>
    <w:uiPriority w:val="99"/>
    <w:unhideWhenUsed/>
    <w:rsid w:val="008348AD"/>
    <w:rPr>
      <w:color w:val="467886" w:themeColor="hyperlink"/>
      <w:u w:val="single"/>
    </w:rPr>
  </w:style>
  <w:style w:type="character" w:styleId="Menzionenonrisolta">
    <w:name w:val="Unresolved Mention"/>
    <w:basedOn w:val="Carpredefinitoparagrafo"/>
    <w:uiPriority w:val="99"/>
    <w:rsid w:val="008348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5194269">
      <w:bodyDiv w:val="1"/>
      <w:marLeft w:val="0"/>
      <w:marRight w:val="0"/>
      <w:marTop w:val="0"/>
      <w:marBottom w:val="0"/>
      <w:divBdr>
        <w:top w:val="none" w:sz="0" w:space="0" w:color="auto"/>
        <w:left w:val="none" w:sz="0" w:space="0" w:color="auto"/>
        <w:bottom w:val="none" w:sz="0" w:space="0" w:color="auto"/>
        <w:right w:val="none" w:sz="0" w:space="0" w:color="auto"/>
      </w:divBdr>
      <w:divsChild>
        <w:div w:id="18824304">
          <w:marLeft w:val="0"/>
          <w:marRight w:val="0"/>
          <w:marTop w:val="0"/>
          <w:marBottom w:val="0"/>
          <w:divBdr>
            <w:top w:val="none" w:sz="0" w:space="0" w:color="auto"/>
            <w:left w:val="none" w:sz="0" w:space="0" w:color="auto"/>
            <w:bottom w:val="none" w:sz="0" w:space="0" w:color="auto"/>
            <w:right w:val="none" w:sz="0" w:space="0" w:color="auto"/>
          </w:divBdr>
          <w:divsChild>
            <w:div w:id="710805254">
              <w:marLeft w:val="0"/>
              <w:marRight w:val="0"/>
              <w:marTop w:val="0"/>
              <w:marBottom w:val="0"/>
              <w:divBdr>
                <w:top w:val="none" w:sz="0" w:space="0" w:color="auto"/>
                <w:left w:val="none" w:sz="0" w:space="0" w:color="auto"/>
                <w:bottom w:val="none" w:sz="0" w:space="0" w:color="auto"/>
                <w:right w:val="none" w:sz="0" w:space="0" w:color="auto"/>
              </w:divBdr>
              <w:divsChild>
                <w:div w:id="1699307735">
                  <w:marLeft w:val="0"/>
                  <w:marRight w:val="0"/>
                  <w:marTop w:val="0"/>
                  <w:marBottom w:val="0"/>
                  <w:divBdr>
                    <w:top w:val="none" w:sz="0" w:space="0" w:color="auto"/>
                    <w:left w:val="none" w:sz="0" w:space="0" w:color="auto"/>
                    <w:bottom w:val="none" w:sz="0" w:space="0" w:color="auto"/>
                    <w:right w:val="none" w:sz="0" w:space="0" w:color="auto"/>
                  </w:divBdr>
                  <w:divsChild>
                    <w:div w:id="164091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712191">
      <w:bodyDiv w:val="1"/>
      <w:marLeft w:val="0"/>
      <w:marRight w:val="0"/>
      <w:marTop w:val="0"/>
      <w:marBottom w:val="0"/>
      <w:divBdr>
        <w:top w:val="none" w:sz="0" w:space="0" w:color="auto"/>
        <w:left w:val="none" w:sz="0" w:space="0" w:color="auto"/>
        <w:bottom w:val="none" w:sz="0" w:space="0" w:color="auto"/>
        <w:right w:val="none" w:sz="0" w:space="0" w:color="auto"/>
      </w:divBdr>
      <w:divsChild>
        <w:div w:id="757167651">
          <w:marLeft w:val="0"/>
          <w:marRight w:val="0"/>
          <w:marTop w:val="0"/>
          <w:marBottom w:val="0"/>
          <w:divBdr>
            <w:top w:val="none" w:sz="0" w:space="0" w:color="auto"/>
            <w:left w:val="none" w:sz="0" w:space="0" w:color="auto"/>
            <w:bottom w:val="none" w:sz="0" w:space="0" w:color="auto"/>
            <w:right w:val="none" w:sz="0" w:space="0" w:color="auto"/>
          </w:divBdr>
          <w:divsChild>
            <w:div w:id="1763602371">
              <w:marLeft w:val="0"/>
              <w:marRight w:val="0"/>
              <w:marTop w:val="0"/>
              <w:marBottom w:val="0"/>
              <w:divBdr>
                <w:top w:val="none" w:sz="0" w:space="0" w:color="auto"/>
                <w:left w:val="none" w:sz="0" w:space="0" w:color="auto"/>
                <w:bottom w:val="none" w:sz="0" w:space="0" w:color="auto"/>
                <w:right w:val="none" w:sz="0" w:space="0" w:color="auto"/>
              </w:divBdr>
              <w:divsChild>
                <w:div w:id="1950160990">
                  <w:marLeft w:val="0"/>
                  <w:marRight w:val="0"/>
                  <w:marTop w:val="0"/>
                  <w:marBottom w:val="0"/>
                  <w:divBdr>
                    <w:top w:val="none" w:sz="0" w:space="0" w:color="auto"/>
                    <w:left w:val="none" w:sz="0" w:space="0" w:color="auto"/>
                    <w:bottom w:val="none" w:sz="0" w:space="0" w:color="auto"/>
                    <w:right w:val="none" w:sz="0" w:space="0" w:color="auto"/>
                  </w:divBdr>
                  <w:divsChild>
                    <w:div w:id="80597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ocenti.unina.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2</Pages>
  <Words>478</Words>
  <Characters>3132</Characters>
  <Application>Microsoft Office Word</Application>
  <DocSecurity>0</DocSecurity>
  <Lines>78</Lines>
  <Paragraphs>23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CARLOMAGNO</dc:creator>
  <cp:keywords/>
  <dc:description/>
  <cp:lastModifiedBy>FRANCESCA CARLOMAGNO</cp:lastModifiedBy>
  <cp:revision>24</cp:revision>
  <dcterms:created xsi:type="dcterms:W3CDTF">2025-07-03T12:43:00Z</dcterms:created>
  <dcterms:modified xsi:type="dcterms:W3CDTF">2026-01-27T11:08:00Z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