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70D5" w14:textId="2672C1B1" w:rsidR="00FD54BF" w:rsidRPr="008F2668" w:rsidRDefault="009F211E">
      <w:pPr>
        <w:rPr>
          <w:rFonts w:ascii="Arial" w:hAnsi="Arial" w:cs="Arial"/>
          <w:b/>
          <w:bCs/>
          <w:lang w:val="en-US"/>
        </w:rPr>
      </w:pPr>
      <w:r w:rsidRPr="008F2668">
        <w:rPr>
          <w:rFonts w:ascii="Arial" w:hAnsi="Arial" w:cs="Arial"/>
          <w:b/>
          <w:bCs/>
          <w:lang w:val="en-US"/>
        </w:rPr>
        <w:t xml:space="preserve">PI </w:t>
      </w:r>
    </w:p>
    <w:p w14:paraId="793B031C" w14:textId="0D35F648" w:rsidR="00FD54BF" w:rsidRPr="008F2668" w:rsidRDefault="008F2668" w:rsidP="00FD54BF">
      <w:pPr>
        <w:pBdr>
          <w:top w:val="single" w:sz="4" w:space="1" w:color="auto"/>
          <w:left w:val="single" w:sz="4" w:space="4" w:color="auto"/>
          <w:bottom w:val="single" w:sz="4" w:space="1" w:color="auto"/>
          <w:right w:val="single" w:sz="4" w:space="4" w:color="auto"/>
        </w:pBdr>
        <w:rPr>
          <w:rFonts w:ascii="Arial" w:hAnsi="Arial" w:cs="Arial"/>
          <w:lang w:val="en-US"/>
        </w:rPr>
      </w:pPr>
      <w:hyperlink r:id="rId5" w:anchor="!/professor/4741425249454c4c414445205649544144565447524c36344434334638333957/riferimenti" w:history="1">
        <w:r w:rsidRPr="00415B42">
          <w:rPr>
            <w:rStyle w:val="Collegamentoipertestuale"/>
            <w:rFonts w:ascii="Arial" w:hAnsi="Arial" w:cs="Arial"/>
            <w:lang w:val="en-US"/>
          </w:rPr>
          <w:t>Gabriella De Vita</w:t>
        </w:r>
      </w:hyperlink>
      <w:r w:rsidR="00415B42">
        <w:rPr>
          <w:rFonts w:ascii="Arial" w:hAnsi="Arial" w:cs="Arial"/>
          <w:lang w:val="en-US"/>
        </w:rPr>
        <w:t>, Full Professor</w:t>
      </w:r>
    </w:p>
    <w:p w14:paraId="4497EA79" w14:textId="77777777" w:rsidR="00FD54BF" w:rsidRPr="008F2668" w:rsidRDefault="00FD54BF" w:rsidP="00FD54BF">
      <w:pPr>
        <w:pBdr>
          <w:top w:val="single" w:sz="4" w:space="1" w:color="auto"/>
          <w:left w:val="single" w:sz="4" w:space="4" w:color="auto"/>
          <w:bottom w:val="single" w:sz="4" w:space="1" w:color="auto"/>
          <w:right w:val="single" w:sz="4" w:space="4" w:color="auto"/>
        </w:pBdr>
        <w:rPr>
          <w:rFonts w:ascii="Arial" w:hAnsi="Arial" w:cs="Arial"/>
          <w:lang w:val="en-US"/>
        </w:rPr>
      </w:pPr>
    </w:p>
    <w:p w14:paraId="2FA46921" w14:textId="77777777" w:rsidR="00FD54BF" w:rsidRPr="008F2668" w:rsidRDefault="00FD54BF">
      <w:pPr>
        <w:rPr>
          <w:rFonts w:ascii="Arial" w:hAnsi="Arial" w:cs="Arial"/>
          <w:lang w:val="en-US"/>
        </w:rPr>
      </w:pPr>
    </w:p>
    <w:p w14:paraId="30797954" w14:textId="1CD9A6BE" w:rsidR="00FD54BF" w:rsidRPr="008F2668" w:rsidRDefault="009F211E">
      <w:pPr>
        <w:rPr>
          <w:rFonts w:ascii="Arial" w:hAnsi="Arial" w:cs="Arial"/>
          <w:lang w:val="en-US"/>
        </w:rPr>
      </w:pPr>
      <w:r w:rsidRPr="008F2668">
        <w:rPr>
          <w:rFonts w:ascii="Arial" w:hAnsi="Arial" w:cs="Arial"/>
          <w:b/>
          <w:bCs/>
          <w:lang w:val="en-US"/>
        </w:rPr>
        <w:t>GROUP:</w:t>
      </w:r>
      <w:r w:rsidRPr="008F2668">
        <w:rPr>
          <w:rFonts w:ascii="Arial" w:hAnsi="Arial" w:cs="Arial"/>
          <w:lang w:val="en-US"/>
        </w:rPr>
        <w:t xml:space="preserve"> </w:t>
      </w:r>
    </w:p>
    <w:p w14:paraId="7B4BBE17" w14:textId="23C863BB" w:rsidR="008F2668" w:rsidRPr="00644AE1" w:rsidRDefault="008F2668" w:rsidP="00FD54BF">
      <w:pPr>
        <w:pBdr>
          <w:top w:val="single" w:sz="4" w:space="1" w:color="auto"/>
          <w:left w:val="single" w:sz="4" w:space="4" w:color="auto"/>
          <w:bottom w:val="single" w:sz="4" w:space="1" w:color="auto"/>
          <w:right w:val="single" w:sz="4" w:space="4" w:color="auto"/>
        </w:pBdr>
        <w:rPr>
          <w:rFonts w:ascii="Arial" w:hAnsi="Arial" w:cs="Arial"/>
        </w:rPr>
      </w:pPr>
      <w:r w:rsidRPr="00644AE1">
        <w:rPr>
          <w:rFonts w:ascii="Arial" w:hAnsi="Arial" w:cs="Arial"/>
        </w:rPr>
        <w:t>Anna Lauritano</w:t>
      </w:r>
    </w:p>
    <w:p w14:paraId="74D67FFF" w14:textId="5D21A91F" w:rsidR="00FD54BF" w:rsidRDefault="008F2668" w:rsidP="00FD54BF">
      <w:pPr>
        <w:pBdr>
          <w:top w:val="single" w:sz="4" w:space="1" w:color="auto"/>
          <w:left w:val="single" w:sz="4" w:space="4" w:color="auto"/>
          <w:bottom w:val="single" w:sz="4" w:space="1" w:color="auto"/>
          <w:right w:val="single" w:sz="4" w:space="4" w:color="auto"/>
        </w:pBdr>
        <w:rPr>
          <w:rFonts w:ascii="Arial" w:hAnsi="Arial" w:cs="Arial"/>
        </w:rPr>
      </w:pPr>
      <w:r w:rsidRPr="00644AE1">
        <w:rPr>
          <w:rFonts w:ascii="Arial" w:hAnsi="Arial" w:cs="Arial"/>
        </w:rPr>
        <w:t>Matteo Esposito</w:t>
      </w:r>
    </w:p>
    <w:p w14:paraId="2417F220" w14:textId="77777777" w:rsidR="00053C76" w:rsidRPr="00C303F2" w:rsidRDefault="00053C76" w:rsidP="00053C76">
      <w:pPr>
        <w:rPr>
          <w:rFonts w:ascii="Arial" w:hAnsi="Arial" w:cs="Arial"/>
        </w:rPr>
      </w:pPr>
    </w:p>
    <w:p w14:paraId="59BDA3FB" w14:textId="089AC41F" w:rsidR="00053C76" w:rsidRPr="00C303F2" w:rsidRDefault="00053C76" w:rsidP="00053C76">
      <w:pPr>
        <w:rPr>
          <w:rFonts w:ascii="Arial" w:hAnsi="Arial" w:cs="Arial"/>
          <w:b/>
          <w:bCs/>
        </w:rPr>
      </w:pPr>
      <w:r w:rsidRPr="00C303F2">
        <w:rPr>
          <w:rFonts w:ascii="Arial" w:hAnsi="Arial" w:cs="Arial"/>
          <w:b/>
          <w:bCs/>
        </w:rPr>
        <w:t>RESEARCH FIELD</w:t>
      </w:r>
    </w:p>
    <w:p w14:paraId="5B48AE2C" w14:textId="1736F53B" w:rsidR="00053C76" w:rsidRPr="008F2668" w:rsidRDefault="0040578A" w:rsidP="00053C76">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1. Noncoding-RNA regulated gene networks in cancer.</w:t>
      </w:r>
    </w:p>
    <w:p w14:paraId="0E4EAD99" w14:textId="7380FBE2" w:rsidR="00053C76" w:rsidRPr="008F2668" w:rsidRDefault="0040578A" w:rsidP="00053C76">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2. Molecular pathogenesis of rare neurodegenerative diseases.</w:t>
      </w:r>
    </w:p>
    <w:p w14:paraId="0A366C3B" w14:textId="77777777" w:rsidR="00F877D5" w:rsidRPr="008F2668" w:rsidRDefault="00F877D5" w:rsidP="00F877D5">
      <w:pPr>
        <w:rPr>
          <w:rFonts w:ascii="Arial" w:hAnsi="Arial" w:cs="Arial"/>
          <w:lang w:val="en-US"/>
        </w:rPr>
      </w:pPr>
    </w:p>
    <w:p w14:paraId="31461A76" w14:textId="506AF020" w:rsidR="00F877D5" w:rsidRPr="008F2668" w:rsidRDefault="00F877D5" w:rsidP="00F877D5">
      <w:pPr>
        <w:rPr>
          <w:rFonts w:ascii="Arial" w:hAnsi="Arial" w:cs="Arial"/>
          <w:lang w:val="en-US"/>
        </w:rPr>
      </w:pPr>
      <w:r w:rsidRPr="008F2668">
        <w:rPr>
          <w:rFonts w:ascii="Arial" w:hAnsi="Arial" w:cs="Arial"/>
          <w:b/>
          <w:bCs/>
          <w:lang w:val="en-US"/>
        </w:rPr>
        <w:t>KEYWORDS</w:t>
      </w:r>
      <w:r w:rsidRPr="008F2668">
        <w:rPr>
          <w:rFonts w:ascii="Arial" w:hAnsi="Arial" w:cs="Arial"/>
          <w:lang w:val="en-US"/>
        </w:rPr>
        <w:t xml:space="preserve"> </w:t>
      </w:r>
    </w:p>
    <w:p w14:paraId="68F83D14" w14:textId="4F6AFA14" w:rsidR="00FD54BF" w:rsidRPr="008F2668" w:rsidRDefault="0040578A" w:rsidP="0040578A">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 xml:space="preserve">miRNA, competing endogenous RNA, developmental and epileptic encephalopathy (DEE), </w:t>
      </w:r>
      <w:r w:rsidR="005B287D">
        <w:rPr>
          <w:rFonts w:ascii="Arial" w:hAnsi="Arial" w:cs="Arial"/>
          <w:lang w:val="en-US"/>
        </w:rPr>
        <w:t xml:space="preserve">Lafora Disease, </w:t>
      </w:r>
      <w:r>
        <w:rPr>
          <w:rFonts w:ascii="Arial" w:hAnsi="Arial" w:cs="Arial"/>
          <w:lang w:val="en-US"/>
        </w:rPr>
        <w:t xml:space="preserve">Batten Disease </w:t>
      </w:r>
    </w:p>
    <w:p w14:paraId="40E18592" w14:textId="77777777" w:rsidR="0040578A" w:rsidRDefault="0040578A">
      <w:pPr>
        <w:rPr>
          <w:rFonts w:ascii="Arial" w:hAnsi="Arial" w:cs="Arial"/>
          <w:b/>
          <w:bCs/>
          <w:lang w:val="en-US"/>
        </w:rPr>
      </w:pPr>
    </w:p>
    <w:p w14:paraId="3BBC079D" w14:textId="318AE979" w:rsidR="00FD54BF" w:rsidRPr="008F2668" w:rsidRDefault="00FD54BF">
      <w:pPr>
        <w:rPr>
          <w:rFonts w:ascii="Arial" w:hAnsi="Arial" w:cs="Arial"/>
          <w:lang w:val="en-US"/>
        </w:rPr>
      </w:pPr>
      <w:r w:rsidRPr="008F2668">
        <w:rPr>
          <w:rFonts w:ascii="Arial" w:hAnsi="Arial" w:cs="Arial"/>
          <w:b/>
          <w:bCs/>
          <w:lang w:val="en-US"/>
        </w:rPr>
        <w:t>ABSTRACT</w:t>
      </w:r>
      <w:r w:rsidRPr="008F2668">
        <w:rPr>
          <w:rFonts w:ascii="Arial" w:hAnsi="Arial" w:cs="Arial"/>
          <w:lang w:val="en-US"/>
        </w:rPr>
        <w:t xml:space="preserve"> </w:t>
      </w:r>
    </w:p>
    <w:p w14:paraId="10C843E0" w14:textId="77777777" w:rsidR="00C64A6E" w:rsidRPr="008F2668" w:rsidRDefault="00C64A6E" w:rsidP="00C64A6E">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1. Noncoding-RNA regulated gene networks in cancer.</w:t>
      </w:r>
    </w:p>
    <w:p w14:paraId="389A1502" w14:textId="762AF9FE" w:rsidR="00C64A6E" w:rsidRDefault="0055430F" w:rsidP="00C64A6E">
      <w:pPr>
        <w:pBdr>
          <w:top w:val="single" w:sz="4" w:space="1" w:color="auto"/>
          <w:left w:val="single" w:sz="4" w:space="4" w:color="auto"/>
          <w:bottom w:val="single" w:sz="4" w:space="1" w:color="auto"/>
          <w:right w:val="single" w:sz="4" w:space="4" w:color="auto"/>
        </w:pBdr>
        <w:rPr>
          <w:rFonts w:ascii="Arial" w:hAnsi="Arial" w:cs="Arial"/>
          <w:lang w:val="en-US"/>
        </w:rPr>
      </w:pPr>
      <w:r w:rsidRPr="0055430F">
        <w:rPr>
          <w:rFonts w:ascii="Arial" w:hAnsi="Arial" w:cs="Arial"/>
          <w:lang w:val="en-US"/>
        </w:rPr>
        <w:t>Klhl14 is a subunit of Cullin-RING ligase 3 ubiquitin ligase complex, highly enriched in thyroid since early embryonic development, together with its antisense RNA Klhl14-AS. We have demonstrated that Klhl14-AS is a competing endogenous RNA regulating differentiation and survival factors in thyroid cancer</w:t>
      </w:r>
      <w:r>
        <w:rPr>
          <w:rFonts w:ascii="Arial" w:hAnsi="Arial" w:cs="Arial"/>
          <w:lang w:val="en-US"/>
        </w:rPr>
        <w:t xml:space="preserve"> and, more recently, </w:t>
      </w:r>
      <w:r w:rsidRPr="0055430F">
        <w:rPr>
          <w:rFonts w:ascii="Arial" w:hAnsi="Arial" w:cs="Arial"/>
          <w:lang w:val="en-US"/>
        </w:rPr>
        <w:t xml:space="preserve">we </w:t>
      </w:r>
      <w:r>
        <w:rPr>
          <w:rFonts w:ascii="Arial" w:hAnsi="Arial" w:cs="Arial"/>
          <w:lang w:val="en-US"/>
        </w:rPr>
        <w:t xml:space="preserve">have shown that </w:t>
      </w:r>
      <w:r w:rsidRPr="0055430F">
        <w:rPr>
          <w:rFonts w:ascii="Arial" w:hAnsi="Arial" w:cs="Arial"/>
          <w:lang w:val="en-US"/>
        </w:rPr>
        <w:t>Klhl14 expression is strongly reduced in anaplastic thyroid cancer</w:t>
      </w:r>
      <w:r>
        <w:rPr>
          <w:rFonts w:ascii="Arial" w:hAnsi="Arial" w:cs="Arial"/>
          <w:lang w:val="en-US"/>
        </w:rPr>
        <w:t xml:space="preserve"> and in </w:t>
      </w:r>
      <w:r w:rsidRPr="0055430F">
        <w:rPr>
          <w:rFonts w:ascii="Arial" w:hAnsi="Arial" w:cs="Arial"/>
          <w:lang w:val="en-US"/>
        </w:rPr>
        <w:t xml:space="preserve">different </w:t>
      </w:r>
      <w:r w:rsidRPr="0055430F">
        <w:rPr>
          <w:rFonts w:ascii="Arial" w:hAnsi="Arial" w:cs="Arial"/>
          <w:i/>
          <w:iCs/>
          <w:lang w:val="en-US"/>
        </w:rPr>
        <w:t>in vivo</w:t>
      </w:r>
      <w:r w:rsidRPr="0055430F">
        <w:rPr>
          <w:rFonts w:ascii="Arial" w:hAnsi="Arial" w:cs="Arial"/>
          <w:lang w:val="en-US"/>
        </w:rPr>
        <w:t xml:space="preserve"> and </w:t>
      </w:r>
      <w:r w:rsidRPr="0055430F">
        <w:rPr>
          <w:rFonts w:ascii="Arial" w:hAnsi="Arial" w:cs="Arial"/>
          <w:i/>
          <w:iCs/>
          <w:lang w:val="en-US"/>
        </w:rPr>
        <w:t>in vitro</w:t>
      </w:r>
      <w:r w:rsidRPr="0055430F">
        <w:rPr>
          <w:rFonts w:ascii="Arial" w:hAnsi="Arial" w:cs="Arial"/>
          <w:lang w:val="en-US"/>
        </w:rPr>
        <w:t xml:space="preserve"> models of thyroid cancer, being invariably associated with loss of differentiation. </w:t>
      </w:r>
      <w:r>
        <w:rPr>
          <w:rFonts w:ascii="Arial" w:hAnsi="Arial" w:cs="Arial"/>
          <w:lang w:val="en-US"/>
        </w:rPr>
        <w:t xml:space="preserve">Rescue of </w:t>
      </w:r>
      <w:r w:rsidRPr="0055430F">
        <w:rPr>
          <w:rFonts w:ascii="Arial" w:hAnsi="Arial" w:cs="Arial"/>
          <w:lang w:val="en-US"/>
        </w:rPr>
        <w:t xml:space="preserve">Klhl14 expression in </w:t>
      </w:r>
      <w:r>
        <w:rPr>
          <w:rFonts w:ascii="Arial" w:hAnsi="Arial" w:cs="Arial"/>
          <w:lang w:val="en-US"/>
        </w:rPr>
        <w:t xml:space="preserve">neoplastic </w:t>
      </w:r>
      <w:r w:rsidRPr="0055430F">
        <w:rPr>
          <w:rFonts w:ascii="Arial" w:hAnsi="Arial" w:cs="Arial"/>
          <w:lang w:val="en-US"/>
        </w:rPr>
        <w:t>thyroid cells</w:t>
      </w:r>
      <w:r>
        <w:rPr>
          <w:rFonts w:ascii="Arial" w:hAnsi="Arial" w:cs="Arial"/>
          <w:lang w:val="en-US"/>
        </w:rPr>
        <w:t xml:space="preserve"> </w:t>
      </w:r>
      <w:r w:rsidRPr="0055430F">
        <w:rPr>
          <w:rFonts w:ascii="Arial" w:hAnsi="Arial" w:cs="Arial"/>
          <w:lang w:val="en-US"/>
        </w:rPr>
        <w:t xml:space="preserve">reduces cell proliferation and increase </w:t>
      </w:r>
      <w:r>
        <w:rPr>
          <w:rFonts w:ascii="Arial" w:hAnsi="Arial" w:cs="Arial"/>
          <w:lang w:val="en-US"/>
        </w:rPr>
        <w:t>apoptosis</w:t>
      </w:r>
      <w:r w:rsidRPr="0055430F">
        <w:rPr>
          <w:rFonts w:ascii="Arial" w:hAnsi="Arial" w:cs="Arial"/>
          <w:lang w:val="en-US"/>
        </w:rPr>
        <w:t>. On the other side, Klhl14 loss of function in normal thyroid cells affects the expression of several regulatory as well as functional thyroid markers. All these findings suggest that Klhl14</w:t>
      </w:r>
      <w:r>
        <w:rPr>
          <w:rFonts w:ascii="Arial" w:hAnsi="Arial" w:cs="Arial"/>
          <w:lang w:val="en-US"/>
        </w:rPr>
        <w:t xml:space="preserve"> and its antisense lncRNA</w:t>
      </w:r>
      <w:r w:rsidRPr="0055430F">
        <w:rPr>
          <w:rFonts w:ascii="Arial" w:hAnsi="Arial" w:cs="Arial"/>
          <w:lang w:val="en-US"/>
        </w:rPr>
        <w:t xml:space="preserve"> could be considered as novel tumor suppressor</w:t>
      </w:r>
      <w:r>
        <w:rPr>
          <w:rFonts w:ascii="Arial" w:hAnsi="Arial" w:cs="Arial"/>
          <w:lang w:val="en-US"/>
        </w:rPr>
        <w:t>s</w:t>
      </w:r>
      <w:r w:rsidRPr="0055430F">
        <w:rPr>
          <w:rFonts w:ascii="Arial" w:hAnsi="Arial" w:cs="Arial"/>
          <w:lang w:val="en-US"/>
        </w:rPr>
        <w:t xml:space="preserve"> in thyroid cancer, by also revealing </w:t>
      </w:r>
      <w:r>
        <w:rPr>
          <w:rFonts w:ascii="Arial" w:hAnsi="Arial" w:cs="Arial"/>
          <w:lang w:val="en-US"/>
        </w:rPr>
        <w:t xml:space="preserve">their </w:t>
      </w:r>
      <w:r w:rsidRPr="0055430F">
        <w:rPr>
          <w:rFonts w:ascii="Arial" w:hAnsi="Arial" w:cs="Arial"/>
          <w:lang w:val="en-US"/>
        </w:rPr>
        <w:t>physiological role in the maintenance of a fully differentiated and functional thyroid phenotype.</w:t>
      </w:r>
      <w:r>
        <w:rPr>
          <w:rFonts w:ascii="Arial" w:hAnsi="Arial" w:cs="Arial"/>
          <w:lang w:val="en-US"/>
        </w:rPr>
        <w:t xml:space="preserve"> We are currently dissecting the pathways downstream to this sense-antisense pair and analyzing their possible cross-regulation in thyroid </w:t>
      </w:r>
      <w:r w:rsidR="00B6741F">
        <w:rPr>
          <w:rFonts w:ascii="Arial" w:hAnsi="Arial" w:cs="Arial"/>
          <w:lang w:val="en-US"/>
        </w:rPr>
        <w:t>homeostasis</w:t>
      </w:r>
      <w:r>
        <w:rPr>
          <w:rFonts w:ascii="Arial" w:hAnsi="Arial" w:cs="Arial"/>
          <w:lang w:val="en-US"/>
        </w:rPr>
        <w:t xml:space="preserve"> and neoplastic transformation.</w:t>
      </w:r>
    </w:p>
    <w:p w14:paraId="14A01A67" w14:textId="77777777" w:rsidR="00C64A6E" w:rsidRDefault="00C64A6E" w:rsidP="00C64A6E">
      <w:pPr>
        <w:pBdr>
          <w:top w:val="single" w:sz="4" w:space="1" w:color="auto"/>
          <w:left w:val="single" w:sz="4" w:space="4" w:color="auto"/>
          <w:bottom w:val="single" w:sz="4" w:space="1" w:color="auto"/>
          <w:right w:val="single" w:sz="4" w:space="4" w:color="auto"/>
        </w:pBdr>
        <w:rPr>
          <w:rFonts w:ascii="Arial" w:hAnsi="Arial" w:cs="Arial"/>
          <w:lang w:val="en-US"/>
        </w:rPr>
      </w:pPr>
    </w:p>
    <w:p w14:paraId="6DE0A6F0" w14:textId="226EEDA8" w:rsidR="00C64A6E" w:rsidRPr="008F2668" w:rsidRDefault="00C64A6E" w:rsidP="00C64A6E">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2. Molecular pathogenesis of rare neurodegenerative diseases.</w:t>
      </w:r>
    </w:p>
    <w:p w14:paraId="44A28A8D" w14:textId="667B72C8" w:rsidR="00C64266" w:rsidRPr="00C64266" w:rsidRDefault="008104E4" w:rsidP="00C64266">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 xml:space="preserve">- </w:t>
      </w:r>
      <w:r w:rsidR="00C64266" w:rsidRPr="00C64266">
        <w:rPr>
          <w:rFonts w:ascii="Arial" w:hAnsi="Arial" w:cs="Arial"/>
          <w:lang w:val="en-US"/>
        </w:rPr>
        <w:t>Lafora disease (LD) is an autosomal recessive myoclonus epilepsy with onset in the teenage years leading to death within</w:t>
      </w:r>
      <w:r w:rsidR="00C64266">
        <w:rPr>
          <w:rFonts w:ascii="Arial" w:hAnsi="Arial" w:cs="Arial"/>
          <w:lang w:val="en-US"/>
        </w:rPr>
        <w:t xml:space="preserve"> </w:t>
      </w:r>
      <w:r w:rsidR="00C64266" w:rsidRPr="00C64266">
        <w:rPr>
          <w:rFonts w:ascii="Arial" w:hAnsi="Arial" w:cs="Arial"/>
          <w:lang w:val="en-US"/>
        </w:rPr>
        <w:t>a decade of onset. LD is characterized by the overaccumulation</w:t>
      </w:r>
      <w:r w:rsidR="00C64266">
        <w:rPr>
          <w:rFonts w:ascii="Arial" w:hAnsi="Arial" w:cs="Arial"/>
          <w:lang w:val="en-US"/>
        </w:rPr>
        <w:t xml:space="preserve"> </w:t>
      </w:r>
      <w:r w:rsidR="00C64266" w:rsidRPr="00C64266">
        <w:rPr>
          <w:rFonts w:ascii="Arial" w:hAnsi="Arial" w:cs="Arial"/>
          <w:lang w:val="en-US"/>
        </w:rPr>
        <w:t>of hyperphosphorylated, poorly branched, insoluble, glycogen</w:t>
      </w:r>
      <w:r w:rsidR="00CA37A2">
        <w:rPr>
          <w:rFonts w:ascii="Arial" w:hAnsi="Arial" w:cs="Arial"/>
          <w:lang w:val="en-US"/>
        </w:rPr>
        <w:t>-</w:t>
      </w:r>
      <w:r w:rsidR="00C64266" w:rsidRPr="00C64266">
        <w:rPr>
          <w:rFonts w:ascii="Arial" w:hAnsi="Arial" w:cs="Arial"/>
          <w:lang w:val="en-US"/>
        </w:rPr>
        <w:t>like</w:t>
      </w:r>
    </w:p>
    <w:p w14:paraId="7ED61725" w14:textId="55E298A2" w:rsidR="00F877D5" w:rsidRDefault="00C64266" w:rsidP="00FD54BF">
      <w:pPr>
        <w:pBdr>
          <w:top w:val="single" w:sz="4" w:space="1" w:color="auto"/>
          <w:left w:val="single" w:sz="4" w:space="4" w:color="auto"/>
          <w:bottom w:val="single" w:sz="4" w:space="1" w:color="auto"/>
          <w:right w:val="single" w:sz="4" w:space="4" w:color="auto"/>
        </w:pBdr>
        <w:rPr>
          <w:rFonts w:ascii="Arial" w:hAnsi="Arial" w:cs="Arial"/>
          <w:lang w:val="en-US"/>
        </w:rPr>
      </w:pPr>
      <w:r w:rsidRPr="00C64266">
        <w:rPr>
          <w:rFonts w:ascii="Arial" w:hAnsi="Arial" w:cs="Arial"/>
          <w:lang w:val="en-US"/>
        </w:rPr>
        <w:t>polymers called Lafora bodies. The disease is caused by</w:t>
      </w:r>
      <w:r>
        <w:rPr>
          <w:rFonts w:ascii="Arial" w:hAnsi="Arial" w:cs="Arial"/>
          <w:lang w:val="en-US"/>
        </w:rPr>
        <w:t xml:space="preserve"> </w:t>
      </w:r>
      <w:r w:rsidRPr="00C64266">
        <w:rPr>
          <w:rFonts w:ascii="Arial" w:hAnsi="Arial" w:cs="Arial"/>
          <w:lang w:val="en-US"/>
        </w:rPr>
        <w:t>mutations in either EPM2A, encoding laforin, a dual specificity</w:t>
      </w:r>
      <w:r>
        <w:rPr>
          <w:rFonts w:ascii="Arial" w:hAnsi="Arial" w:cs="Arial"/>
          <w:lang w:val="en-US"/>
        </w:rPr>
        <w:t xml:space="preserve"> </w:t>
      </w:r>
      <w:r w:rsidRPr="00C64266">
        <w:rPr>
          <w:rFonts w:ascii="Arial" w:hAnsi="Arial" w:cs="Arial"/>
          <w:lang w:val="en-US"/>
        </w:rPr>
        <w:t>phosphatase that dephosphorylates glycogen, or EMP2B,</w:t>
      </w:r>
      <w:r>
        <w:rPr>
          <w:rFonts w:ascii="Arial" w:hAnsi="Arial" w:cs="Arial"/>
          <w:lang w:val="en-US"/>
        </w:rPr>
        <w:t xml:space="preserve"> </w:t>
      </w:r>
      <w:r w:rsidRPr="00C64266">
        <w:rPr>
          <w:rFonts w:ascii="Arial" w:hAnsi="Arial" w:cs="Arial"/>
          <w:lang w:val="en-US"/>
        </w:rPr>
        <w:t>encoding malin, an E3-ubiquitin ligase.</w:t>
      </w:r>
      <w:r w:rsidR="00A271B0">
        <w:rPr>
          <w:rFonts w:ascii="Arial" w:hAnsi="Arial" w:cs="Arial"/>
          <w:lang w:val="en-US"/>
        </w:rPr>
        <w:t xml:space="preserve"> </w:t>
      </w:r>
      <w:r w:rsidR="00915351">
        <w:rPr>
          <w:rFonts w:ascii="Arial" w:hAnsi="Arial" w:cs="Arial"/>
          <w:lang w:val="en-US"/>
        </w:rPr>
        <w:t>About 200 cases of LD have been diagnosed worldwide, 30 of which in Italy. Most of th</w:t>
      </w:r>
      <w:r w:rsidR="00CA37A2">
        <w:rPr>
          <w:rFonts w:ascii="Arial" w:hAnsi="Arial" w:cs="Arial"/>
          <w:lang w:val="en-US"/>
        </w:rPr>
        <w:t xml:space="preserve">e Italian </w:t>
      </w:r>
      <w:r w:rsidR="004A46C1">
        <w:rPr>
          <w:rFonts w:ascii="Arial" w:hAnsi="Arial" w:cs="Arial"/>
          <w:lang w:val="en-US"/>
        </w:rPr>
        <w:t>cases are due to</w:t>
      </w:r>
      <w:r w:rsidR="00915351">
        <w:rPr>
          <w:rFonts w:ascii="Arial" w:hAnsi="Arial" w:cs="Arial"/>
          <w:lang w:val="en-US"/>
        </w:rPr>
        <w:t xml:space="preserve"> biallelic mutations in EPM2B, while EPM2A </w:t>
      </w:r>
      <w:r w:rsidR="004A46C1">
        <w:rPr>
          <w:rFonts w:ascii="Arial" w:hAnsi="Arial" w:cs="Arial"/>
          <w:lang w:val="en-US"/>
        </w:rPr>
        <w:t xml:space="preserve">mutations </w:t>
      </w:r>
      <w:r w:rsidR="00915351">
        <w:rPr>
          <w:rFonts w:ascii="Arial" w:hAnsi="Arial" w:cs="Arial"/>
          <w:lang w:val="en-US"/>
        </w:rPr>
        <w:t xml:space="preserve">are less frequent. In our NGS facility we recently diagnosed with LD an individual carrying an ultra-rare pathogenic variant in homozygous state, with both parents being carriers, although non-consanguineous. As the affected patient shows a very severe </w:t>
      </w:r>
      <w:r w:rsidR="00956DAD">
        <w:rPr>
          <w:rFonts w:ascii="Arial" w:hAnsi="Arial" w:cs="Arial"/>
          <w:lang w:val="en-US"/>
        </w:rPr>
        <w:t>form of LD</w:t>
      </w:r>
      <w:r w:rsidR="00915351">
        <w:rPr>
          <w:rFonts w:ascii="Arial" w:hAnsi="Arial" w:cs="Arial"/>
          <w:lang w:val="en-US"/>
        </w:rPr>
        <w:t xml:space="preserve">, </w:t>
      </w:r>
      <w:r w:rsidR="00CA37A2">
        <w:rPr>
          <w:rFonts w:ascii="Arial" w:hAnsi="Arial" w:cs="Arial"/>
          <w:lang w:val="en-US"/>
        </w:rPr>
        <w:t>our aim is</w:t>
      </w:r>
      <w:r w:rsidR="00915351">
        <w:rPr>
          <w:rFonts w:ascii="Arial" w:hAnsi="Arial" w:cs="Arial"/>
          <w:lang w:val="en-US"/>
        </w:rPr>
        <w:t xml:space="preserve"> </w:t>
      </w:r>
      <w:r w:rsidR="00CA37A2">
        <w:rPr>
          <w:rFonts w:ascii="Arial" w:hAnsi="Arial" w:cs="Arial"/>
          <w:lang w:val="en-US"/>
        </w:rPr>
        <w:t>to</w:t>
      </w:r>
      <w:r w:rsidR="00915351">
        <w:rPr>
          <w:rFonts w:ascii="Arial" w:hAnsi="Arial" w:cs="Arial"/>
          <w:lang w:val="en-US"/>
        </w:rPr>
        <w:t xml:space="preserve"> characterize at the molecular level the </w:t>
      </w:r>
      <w:r w:rsidR="00CA37A2">
        <w:rPr>
          <w:rFonts w:ascii="Arial" w:hAnsi="Arial" w:cs="Arial"/>
          <w:lang w:val="en-US"/>
        </w:rPr>
        <w:t>effects of</w:t>
      </w:r>
      <w:r w:rsidR="00915351">
        <w:rPr>
          <w:rFonts w:ascii="Arial" w:hAnsi="Arial" w:cs="Arial"/>
          <w:lang w:val="en-US"/>
        </w:rPr>
        <w:t xml:space="preserve"> this specific variant</w:t>
      </w:r>
      <w:r w:rsidR="00CA37A2">
        <w:rPr>
          <w:rFonts w:ascii="Arial" w:hAnsi="Arial" w:cs="Arial"/>
          <w:lang w:val="en-US"/>
        </w:rPr>
        <w:t xml:space="preserve"> in primary fibroblasts from the patient. Studies on mRNA and protein from the mutant gene are currently in progress.</w:t>
      </w:r>
    </w:p>
    <w:p w14:paraId="3DF3F8F6" w14:textId="371AF5CB" w:rsidR="00CA37A2" w:rsidRPr="008F2668" w:rsidRDefault="008104E4" w:rsidP="00FD54BF">
      <w:pPr>
        <w:pBdr>
          <w:top w:val="single" w:sz="4" w:space="1" w:color="auto"/>
          <w:left w:val="single" w:sz="4" w:space="4" w:color="auto"/>
          <w:bottom w:val="single" w:sz="4" w:space="1" w:color="auto"/>
          <w:right w:val="single" w:sz="4" w:space="4" w:color="auto"/>
        </w:pBdr>
        <w:rPr>
          <w:rFonts w:ascii="Arial" w:hAnsi="Arial" w:cs="Arial"/>
          <w:lang w:val="en-US"/>
        </w:rPr>
      </w:pPr>
      <w:r w:rsidRPr="008104E4">
        <w:rPr>
          <w:rFonts w:ascii="Arial" w:hAnsi="Arial" w:cs="Arial"/>
          <w:lang w:val="en-US"/>
        </w:rPr>
        <w:t>-</w:t>
      </w:r>
      <w:r>
        <w:rPr>
          <w:rFonts w:ascii="Arial" w:hAnsi="Arial" w:cs="Arial"/>
          <w:lang w:val="en-US"/>
        </w:rPr>
        <w:t xml:space="preserve"> </w:t>
      </w:r>
      <w:r w:rsidR="00C303F2" w:rsidRPr="008104E4">
        <w:rPr>
          <w:rFonts w:ascii="Arial" w:hAnsi="Arial" w:cs="Arial"/>
          <w:lang w:val="en-US"/>
        </w:rPr>
        <w:t xml:space="preserve">CLN3 Batten disease (BD), is a </w:t>
      </w:r>
      <w:r>
        <w:rPr>
          <w:rFonts w:ascii="Arial" w:hAnsi="Arial" w:cs="Arial"/>
          <w:lang w:val="en-US"/>
        </w:rPr>
        <w:t>lethal pediatric recessive</w:t>
      </w:r>
      <w:r w:rsidR="00C303F2" w:rsidRPr="008104E4">
        <w:rPr>
          <w:rFonts w:ascii="Arial" w:hAnsi="Arial" w:cs="Arial"/>
          <w:lang w:val="en-US"/>
        </w:rPr>
        <w:t xml:space="preserve"> neurodegenerative disorder</w:t>
      </w:r>
      <w:r>
        <w:rPr>
          <w:rFonts w:ascii="Arial" w:hAnsi="Arial" w:cs="Arial"/>
          <w:lang w:val="en-US"/>
        </w:rPr>
        <w:t xml:space="preserve"> of </w:t>
      </w:r>
      <w:r w:rsidRPr="008104E4">
        <w:rPr>
          <w:rFonts w:ascii="Arial" w:hAnsi="Arial" w:cs="Arial"/>
          <w:lang w:val="en-US"/>
        </w:rPr>
        <w:t>lysosomal storage</w:t>
      </w:r>
      <w:r>
        <w:rPr>
          <w:rFonts w:ascii="Arial" w:hAnsi="Arial" w:cs="Arial"/>
          <w:lang w:val="en-US"/>
        </w:rPr>
        <w:t xml:space="preserve">. </w:t>
      </w:r>
      <w:r w:rsidRPr="008104E4">
        <w:rPr>
          <w:rFonts w:ascii="Arial" w:hAnsi="Arial" w:cs="Arial"/>
          <w:lang w:val="en-US"/>
        </w:rPr>
        <w:t xml:space="preserve">CLN3 </w:t>
      </w:r>
      <w:r>
        <w:rPr>
          <w:rFonts w:ascii="Arial" w:hAnsi="Arial" w:cs="Arial"/>
          <w:lang w:val="en-US"/>
        </w:rPr>
        <w:t xml:space="preserve">gene </w:t>
      </w:r>
      <w:r w:rsidRPr="008104E4">
        <w:rPr>
          <w:rFonts w:ascii="Arial" w:hAnsi="Arial" w:cs="Arial"/>
          <w:lang w:val="en-US"/>
        </w:rPr>
        <w:t xml:space="preserve">loss </w:t>
      </w:r>
      <w:r>
        <w:rPr>
          <w:rFonts w:ascii="Arial" w:hAnsi="Arial" w:cs="Arial"/>
          <w:lang w:val="en-US"/>
        </w:rPr>
        <w:t xml:space="preserve">of function </w:t>
      </w:r>
      <w:r w:rsidRPr="008104E4">
        <w:rPr>
          <w:rFonts w:ascii="Arial" w:hAnsi="Arial" w:cs="Arial"/>
          <w:lang w:val="en-US"/>
        </w:rPr>
        <w:t xml:space="preserve">leads to significant accumulation of </w:t>
      </w:r>
      <w:r w:rsidRPr="008104E4">
        <w:rPr>
          <w:rFonts w:ascii="Arial" w:hAnsi="Arial" w:cs="Arial"/>
          <w:lang w:val="en-US"/>
        </w:rPr>
        <w:lastRenderedPageBreak/>
        <w:t xml:space="preserve">glycerophosphodiesters (GPDs), </w:t>
      </w:r>
      <w:r>
        <w:rPr>
          <w:rFonts w:ascii="Arial" w:hAnsi="Arial" w:cs="Arial"/>
          <w:lang w:val="en-US"/>
        </w:rPr>
        <w:t>thus disrupting lysosomal lipid homeostasis</w:t>
      </w:r>
      <w:r w:rsidR="00E60401">
        <w:rPr>
          <w:rFonts w:ascii="Arial" w:hAnsi="Arial" w:cs="Arial"/>
          <w:lang w:val="en-US"/>
        </w:rPr>
        <w:t>. Glycerophosphoinositol (GroPIns) is the most abundant GPD accumulated in BD lysosomes.</w:t>
      </w:r>
      <w:r w:rsidR="004A46C1">
        <w:rPr>
          <w:rFonts w:ascii="Arial" w:hAnsi="Arial" w:cs="Arial"/>
          <w:lang w:val="en-US"/>
        </w:rPr>
        <w:t xml:space="preserve"> This project has two aims.</w:t>
      </w:r>
      <w:r w:rsidR="00E60401">
        <w:rPr>
          <w:rFonts w:ascii="Arial" w:hAnsi="Arial" w:cs="Arial"/>
          <w:lang w:val="en-US"/>
        </w:rPr>
        <w:t xml:space="preserve"> </w:t>
      </w:r>
      <w:r w:rsidR="004A46C1">
        <w:rPr>
          <w:rFonts w:ascii="Arial" w:hAnsi="Arial" w:cs="Arial"/>
          <w:lang w:val="en-US"/>
        </w:rPr>
        <w:t>A</w:t>
      </w:r>
      <w:r w:rsidR="00FA01FA">
        <w:rPr>
          <w:rFonts w:ascii="Arial" w:hAnsi="Arial" w:cs="Arial"/>
          <w:lang w:val="en-US"/>
        </w:rPr>
        <w:t xml:space="preserve">) </w:t>
      </w:r>
      <w:r w:rsidR="00A83D38">
        <w:rPr>
          <w:rFonts w:ascii="Arial" w:hAnsi="Arial" w:cs="Arial"/>
          <w:lang w:val="en-US"/>
        </w:rPr>
        <w:t>generate cellular model</w:t>
      </w:r>
      <w:r w:rsidR="00FA01FA">
        <w:rPr>
          <w:rFonts w:ascii="Arial" w:hAnsi="Arial" w:cs="Arial"/>
          <w:lang w:val="en-US"/>
        </w:rPr>
        <w:t>s</w:t>
      </w:r>
      <w:r w:rsidR="00A83D38">
        <w:rPr>
          <w:rFonts w:ascii="Arial" w:hAnsi="Arial" w:cs="Arial"/>
          <w:lang w:val="en-US"/>
        </w:rPr>
        <w:t xml:space="preserve"> of BD to </w:t>
      </w:r>
      <w:r w:rsidR="00E60401">
        <w:rPr>
          <w:rFonts w:ascii="Arial" w:hAnsi="Arial" w:cs="Arial"/>
          <w:lang w:val="en-US"/>
        </w:rPr>
        <w:t xml:space="preserve">unveil the role of GroPIns in </w:t>
      </w:r>
      <w:r w:rsidR="00FC367B">
        <w:rPr>
          <w:rFonts w:ascii="Arial" w:hAnsi="Arial" w:cs="Arial"/>
          <w:lang w:val="en-US"/>
        </w:rPr>
        <w:t xml:space="preserve">disease </w:t>
      </w:r>
      <w:r w:rsidR="00E60401">
        <w:rPr>
          <w:rFonts w:ascii="Arial" w:hAnsi="Arial" w:cs="Arial"/>
          <w:lang w:val="en-US"/>
        </w:rPr>
        <w:t>pathogenesis</w:t>
      </w:r>
      <w:r w:rsidR="00FA01FA">
        <w:rPr>
          <w:rFonts w:ascii="Arial" w:hAnsi="Arial" w:cs="Arial"/>
          <w:lang w:val="en-US"/>
        </w:rPr>
        <w:t xml:space="preserve">. IPSc from BD patients will be used to obtain neuronal precursor cells in which GroPIns dynamics will be studied using a novel molecular fluorescent probe able to selectively bind GroPIns (GBD). </w:t>
      </w:r>
      <w:r w:rsidR="004A46C1">
        <w:rPr>
          <w:rFonts w:ascii="Arial" w:hAnsi="Arial" w:cs="Arial"/>
          <w:lang w:val="en-US"/>
        </w:rPr>
        <w:t>B</w:t>
      </w:r>
      <w:r w:rsidR="00FA01FA">
        <w:rPr>
          <w:rFonts w:ascii="Arial" w:hAnsi="Arial" w:cs="Arial"/>
          <w:lang w:val="en-US"/>
        </w:rPr>
        <w:t>) develop diagnostic tools to measure GroPIns in biological fluids</w:t>
      </w:r>
      <w:r w:rsidR="00AE7007">
        <w:rPr>
          <w:rFonts w:ascii="Arial" w:hAnsi="Arial" w:cs="Arial"/>
          <w:lang w:val="en-US"/>
        </w:rPr>
        <w:t xml:space="preserve">. </w:t>
      </w:r>
      <w:r w:rsidR="00FA01FA">
        <w:rPr>
          <w:rFonts w:ascii="Arial" w:hAnsi="Arial" w:cs="Arial"/>
          <w:lang w:val="en-US"/>
        </w:rPr>
        <w:t>Gold or cellulose n</w:t>
      </w:r>
      <w:r w:rsidR="00A83D38">
        <w:rPr>
          <w:rFonts w:ascii="Arial" w:hAnsi="Arial" w:cs="Arial"/>
          <w:lang w:val="en-US"/>
        </w:rPr>
        <w:t xml:space="preserve">anoparticles </w:t>
      </w:r>
      <w:r w:rsidR="00FA01FA">
        <w:rPr>
          <w:rFonts w:ascii="Arial" w:hAnsi="Arial" w:cs="Arial"/>
          <w:lang w:val="en-US"/>
        </w:rPr>
        <w:t xml:space="preserve">will be functionalized by GBD binding and tested for their use as </w:t>
      </w:r>
      <w:r w:rsidR="00FE6826">
        <w:rPr>
          <w:rFonts w:ascii="Arial" w:hAnsi="Arial" w:cs="Arial"/>
          <w:lang w:val="en-US"/>
        </w:rPr>
        <w:t>diagnostic tool to measure GroPIns in extracellular fluids and in serum from patients</w:t>
      </w:r>
      <w:r w:rsidR="00A83D38">
        <w:rPr>
          <w:rFonts w:ascii="Arial" w:hAnsi="Arial" w:cs="Arial"/>
          <w:lang w:val="en-US"/>
        </w:rPr>
        <w:t>.</w:t>
      </w:r>
    </w:p>
    <w:p w14:paraId="65D046DC" w14:textId="77777777" w:rsidR="00FD54BF" w:rsidRPr="008F2668" w:rsidRDefault="00FD54BF">
      <w:pPr>
        <w:rPr>
          <w:rFonts w:ascii="Arial" w:hAnsi="Arial" w:cs="Arial"/>
          <w:lang w:val="en-US"/>
        </w:rPr>
      </w:pPr>
    </w:p>
    <w:p w14:paraId="2F42934F" w14:textId="1FF78F42" w:rsidR="00FD54BF" w:rsidRPr="008F2668" w:rsidRDefault="009F211E">
      <w:pPr>
        <w:rPr>
          <w:rFonts w:ascii="Arial" w:hAnsi="Arial" w:cs="Arial"/>
          <w:lang w:val="en-US"/>
        </w:rPr>
      </w:pPr>
      <w:r w:rsidRPr="008F2668">
        <w:rPr>
          <w:rFonts w:ascii="Arial" w:hAnsi="Arial" w:cs="Arial"/>
          <w:b/>
          <w:bCs/>
          <w:lang w:val="en-US"/>
        </w:rPr>
        <w:t>PUBLICATIONS</w:t>
      </w:r>
      <w:r w:rsidR="00FD54BF" w:rsidRPr="008F2668">
        <w:rPr>
          <w:rFonts w:ascii="Arial" w:hAnsi="Arial" w:cs="Arial"/>
          <w:lang w:val="en-US"/>
        </w:rPr>
        <w:t xml:space="preserve"> (max 5 </w:t>
      </w:r>
      <w:r w:rsidRPr="008F2668">
        <w:rPr>
          <w:rFonts w:ascii="Arial" w:hAnsi="Arial" w:cs="Arial"/>
          <w:lang w:val="en-US"/>
        </w:rPr>
        <w:t>last 5 years</w:t>
      </w:r>
      <w:r w:rsidR="00FD54BF" w:rsidRPr="008F2668">
        <w:rPr>
          <w:rFonts w:ascii="Arial" w:hAnsi="Arial" w:cs="Arial"/>
          <w:lang w:val="en-US"/>
        </w:rPr>
        <w:t>)</w:t>
      </w:r>
      <w:r w:rsidR="005E3DA9" w:rsidRPr="008F2668">
        <w:rPr>
          <w:rFonts w:ascii="Arial" w:hAnsi="Arial" w:cs="Arial"/>
          <w:lang w:val="en-US"/>
        </w:rPr>
        <w:t xml:space="preserve"> </w:t>
      </w:r>
    </w:p>
    <w:p w14:paraId="4912050C" w14:textId="5D5CEA69" w:rsidR="00872CF8" w:rsidRDefault="00872CF8" w:rsidP="00415B42">
      <w:pPr>
        <w:numPr>
          <w:ilvl w:val="0"/>
          <w:numId w:val="1"/>
        </w:numPr>
        <w:pBdr>
          <w:top w:val="single" w:sz="4" w:space="1" w:color="auto"/>
          <w:left w:val="single" w:sz="4" w:space="23" w:color="auto"/>
          <w:bottom w:val="single" w:sz="4" w:space="1" w:color="auto"/>
          <w:right w:val="single" w:sz="4" w:space="4" w:color="auto"/>
        </w:pBdr>
        <w:tabs>
          <w:tab w:val="clear" w:pos="720"/>
        </w:tabs>
        <w:ind w:left="709" w:hanging="283"/>
        <w:rPr>
          <w:rFonts w:ascii="Arial" w:hAnsi="Arial" w:cs="Arial"/>
          <w:lang w:val="en-US"/>
        </w:rPr>
      </w:pPr>
      <w:r w:rsidRPr="009421FC">
        <w:rPr>
          <w:rFonts w:ascii="Arial" w:hAnsi="Arial" w:cs="Arial"/>
          <w:lang w:val="en-US"/>
        </w:rPr>
        <w:t>Gaspar IL, Terrone G, Carleo G, Carotenuto L, Miceli F, De Vita G, Taglialatela M. Potassium current inactivation as a novel pathomechanism for KCNQ2 developmental and epileptic encephalopathy. Epilepsia. 2025 Jun;66(6):e98-e105. doi: 10.1111/epi.18427.</w:t>
      </w:r>
    </w:p>
    <w:p w14:paraId="57BE7B5A" w14:textId="77350BC9" w:rsidR="00872CF8" w:rsidRPr="00872CF8" w:rsidRDefault="00872CF8" w:rsidP="00415B42">
      <w:pPr>
        <w:numPr>
          <w:ilvl w:val="0"/>
          <w:numId w:val="1"/>
        </w:numPr>
        <w:pBdr>
          <w:top w:val="single" w:sz="4" w:space="1" w:color="auto"/>
          <w:left w:val="single" w:sz="4" w:space="23" w:color="auto"/>
          <w:bottom w:val="single" w:sz="4" w:space="1" w:color="auto"/>
          <w:right w:val="single" w:sz="4" w:space="4" w:color="auto"/>
        </w:pBdr>
        <w:tabs>
          <w:tab w:val="clear" w:pos="720"/>
        </w:tabs>
        <w:ind w:left="709" w:hanging="283"/>
        <w:rPr>
          <w:rFonts w:ascii="Arial" w:hAnsi="Arial" w:cs="Arial"/>
          <w:lang w:val="en-US"/>
        </w:rPr>
      </w:pPr>
      <w:r w:rsidRPr="00872CF8">
        <w:rPr>
          <w:rFonts w:ascii="Arial" w:hAnsi="Arial" w:cs="Arial"/>
          <w:lang w:val="en-US"/>
        </w:rPr>
        <w:t>Esposito M, Migliaccio A, Credendino SC, Maturi R, Prevete N, De Vita G. KLHL14 is a tumor suppressor downregulated in undifferentiated thyroid cancer. Cell Death Discov. 2024 Jun 22;10(1):297. doi: 10.1038/s41420-024-02063-7.</w:t>
      </w:r>
    </w:p>
    <w:p w14:paraId="28C9C3D7" w14:textId="77777777" w:rsidR="00872CF8" w:rsidRPr="00872CF8" w:rsidRDefault="00872CF8" w:rsidP="00415B42">
      <w:pPr>
        <w:numPr>
          <w:ilvl w:val="0"/>
          <w:numId w:val="1"/>
        </w:numPr>
        <w:pBdr>
          <w:top w:val="single" w:sz="4" w:space="1" w:color="auto"/>
          <w:left w:val="single" w:sz="4" w:space="23" w:color="auto"/>
          <w:bottom w:val="single" w:sz="4" w:space="1" w:color="auto"/>
          <w:right w:val="single" w:sz="4" w:space="4" w:color="auto"/>
        </w:pBdr>
        <w:tabs>
          <w:tab w:val="clear" w:pos="720"/>
        </w:tabs>
        <w:ind w:left="709" w:hanging="283"/>
        <w:rPr>
          <w:rFonts w:ascii="Arial" w:hAnsi="Arial" w:cs="Arial"/>
        </w:rPr>
      </w:pPr>
      <w:r w:rsidRPr="00872CF8">
        <w:rPr>
          <w:rFonts w:ascii="Arial" w:hAnsi="Arial" w:cs="Arial"/>
        </w:rPr>
        <w:t xml:space="preserve">Spirito L, Maturi R, Credendino SC, Manfredi C, Arcaniolo D, De Martino M, Esposito F, Napolitano L, Di Bello F, Fusco A, Pallante P, De Sio M, De Vita G. Differential Expression of LncRNA in Bladder Cancer Development. Diagnostics (Basel). 2023 May 15;13(10):1745. doi: 10.3390/diagnostics13101745. </w:t>
      </w:r>
    </w:p>
    <w:p w14:paraId="5F6AC86D" w14:textId="77777777" w:rsidR="00872CF8" w:rsidRPr="00872CF8" w:rsidRDefault="00872CF8" w:rsidP="00415B42">
      <w:pPr>
        <w:numPr>
          <w:ilvl w:val="0"/>
          <w:numId w:val="1"/>
        </w:numPr>
        <w:pBdr>
          <w:top w:val="single" w:sz="4" w:space="1" w:color="auto"/>
          <w:left w:val="single" w:sz="4" w:space="23" w:color="auto"/>
          <w:bottom w:val="single" w:sz="4" w:space="1" w:color="auto"/>
          <w:right w:val="single" w:sz="4" w:space="4" w:color="auto"/>
        </w:pBdr>
        <w:tabs>
          <w:tab w:val="clear" w:pos="720"/>
        </w:tabs>
        <w:ind w:left="709" w:hanging="283"/>
        <w:rPr>
          <w:rFonts w:ascii="Arial" w:hAnsi="Arial" w:cs="Arial"/>
          <w:lang w:val="en-US"/>
        </w:rPr>
      </w:pPr>
      <w:r w:rsidRPr="00872CF8">
        <w:rPr>
          <w:rFonts w:ascii="Arial" w:hAnsi="Arial" w:cs="Arial"/>
        </w:rPr>
        <w:t xml:space="preserve">Credendino SC, De Menna M, Cantone I, Moccia C, Esposito M, Di Guida L, De Felice M, De Vita G. </w:t>
      </w:r>
      <w:r w:rsidRPr="00872CF8">
        <w:rPr>
          <w:rFonts w:ascii="Arial" w:hAnsi="Arial" w:cs="Arial"/>
          <w:i/>
          <w:iCs/>
        </w:rPr>
        <w:t>FOXE1</w:t>
      </w:r>
      <w:r w:rsidRPr="00872CF8">
        <w:rPr>
          <w:rFonts w:ascii="Arial" w:hAnsi="Arial" w:cs="Arial"/>
        </w:rPr>
        <w:t xml:space="preserve">-Dependent Regulation of Macrophage Chemotaxis by Thyroid Cells In Vitro and In Vivo. </w:t>
      </w:r>
      <w:r w:rsidRPr="00872CF8">
        <w:rPr>
          <w:rFonts w:ascii="Arial" w:hAnsi="Arial" w:cs="Arial"/>
          <w:lang w:val="en-US"/>
        </w:rPr>
        <w:t>Int J Mol Sci. 2021 Jul 17;22(14):7666. doi: 10.3390/ijms22147666. PMID: 34299284</w:t>
      </w:r>
    </w:p>
    <w:p w14:paraId="25977EC1" w14:textId="11FAE52B" w:rsidR="00FD54BF" w:rsidRPr="00872CF8" w:rsidRDefault="00872CF8" w:rsidP="00415B42">
      <w:pPr>
        <w:numPr>
          <w:ilvl w:val="0"/>
          <w:numId w:val="1"/>
        </w:numPr>
        <w:pBdr>
          <w:top w:val="single" w:sz="4" w:space="1" w:color="auto"/>
          <w:left w:val="single" w:sz="4" w:space="23" w:color="auto"/>
          <w:bottom w:val="single" w:sz="4" w:space="1" w:color="auto"/>
          <w:right w:val="single" w:sz="4" w:space="4" w:color="auto"/>
        </w:pBdr>
        <w:tabs>
          <w:tab w:val="clear" w:pos="720"/>
        </w:tabs>
        <w:ind w:left="709" w:hanging="283"/>
        <w:rPr>
          <w:rFonts w:ascii="Arial" w:hAnsi="Arial" w:cs="Arial"/>
        </w:rPr>
      </w:pPr>
      <w:r w:rsidRPr="00872CF8">
        <w:rPr>
          <w:rFonts w:ascii="Arial" w:hAnsi="Arial" w:cs="Arial"/>
        </w:rPr>
        <w:t xml:space="preserve">Credendino SC, Moccia C, Amendola E, D'Avino G, Di Guida L, Clery E, Greco A, Bellevicine C, Brunetti A, De Felice M, De Vita G. </w:t>
      </w:r>
      <w:r w:rsidRPr="00872CF8">
        <w:rPr>
          <w:rFonts w:ascii="Arial" w:hAnsi="Arial" w:cs="Arial"/>
          <w:i/>
          <w:iCs/>
        </w:rPr>
        <w:t>FOXE1</w:t>
      </w:r>
      <w:r w:rsidRPr="00872CF8">
        <w:rPr>
          <w:rFonts w:ascii="Arial" w:hAnsi="Arial" w:cs="Arial"/>
        </w:rPr>
        <w:t xml:space="preserve"> Gene Dosage Affects Thyroid Cancer Histology and Differentiation In Vivo. Int J Mol Sci. 2020 Dec 22;22(1):25. doi: 10.3390/ijms22010025.</w:t>
      </w:r>
    </w:p>
    <w:p w14:paraId="6730BE66" w14:textId="77777777" w:rsidR="00FD54BF" w:rsidRPr="008F2668" w:rsidRDefault="00FD54BF">
      <w:pPr>
        <w:rPr>
          <w:rFonts w:ascii="Arial" w:hAnsi="Arial" w:cs="Arial"/>
          <w:lang w:val="en-US"/>
        </w:rPr>
      </w:pPr>
    </w:p>
    <w:p w14:paraId="123A8834" w14:textId="0E7C2FB4" w:rsidR="00FD54BF" w:rsidRPr="008F2668" w:rsidRDefault="009F211E">
      <w:pPr>
        <w:rPr>
          <w:rFonts w:ascii="Arial" w:hAnsi="Arial" w:cs="Arial"/>
          <w:lang w:val="en-US"/>
        </w:rPr>
      </w:pPr>
      <w:r w:rsidRPr="008F2668">
        <w:rPr>
          <w:rFonts w:ascii="Arial" w:hAnsi="Arial" w:cs="Arial"/>
          <w:b/>
          <w:bCs/>
          <w:lang w:val="en-US"/>
        </w:rPr>
        <w:t>FUNDING</w:t>
      </w:r>
      <w:r w:rsidRPr="008F2668">
        <w:rPr>
          <w:rFonts w:ascii="Arial" w:hAnsi="Arial" w:cs="Arial"/>
          <w:lang w:val="en-US"/>
        </w:rPr>
        <w:t xml:space="preserve"> </w:t>
      </w:r>
    </w:p>
    <w:p w14:paraId="1DAA0868" w14:textId="400B234D" w:rsidR="005A3302" w:rsidRPr="00415B42" w:rsidRDefault="005A3302" w:rsidP="000F5179">
      <w:pPr>
        <w:pBdr>
          <w:top w:val="single" w:sz="4" w:space="1" w:color="auto"/>
          <w:left w:val="single" w:sz="4" w:space="4" w:color="auto"/>
          <w:bottom w:val="single" w:sz="4" w:space="1" w:color="auto"/>
          <w:right w:val="single" w:sz="4" w:space="4" w:color="auto"/>
        </w:pBdr>
        <w:rPr>
          <w:rFonts w:ascii="Arial" w:hAnsi="Arial" w:cs="Arial"/>
          <w:lang w:val="en-US"/>
        </w:rPr>
      </w:pPr>
      <w:r w:rsidRPr="00415B42">
        <w:rPr>
          <w:rFonts w:ascii="Arial" w:hAnsi="Arial" w:cs="Arial"/>
          <w:lang w:val="en-US"/>
        </w:rPr>
        <w:t>1. Ministry of University and Research</w:t>
      </w:r>
    </w:p>
    <w:p w14:paraId="747B618A" w14:textId="0DB20790" w:rsidR="005A3302" w:rsidRPr="00415B42" w:rsidRDefault="005A3302" w:rsidP="005A3302">
      <w:pPr>
        <w:pBdr>
          <w:top w:val="single" w:sz="4" w:space="1" w:color="auto"/>
          <w:left w:val="single" w:sz="4" w:space="4" w:color="auto"/>
          <w:bottom w:val="single" w:sz="4" w:space="1" w:color="auto"/>
          <w:right w:val="single" w:sz="4" w:space="4" w:color="auto"/>
        </w:pBdr>
        <w:rPr>
          <w:rFonts w:ascii="Arial" w:hAnsi="Arial" w:cs="Arial"/>
          <w:lang w:val="en-US"/>
        </w:rPr>
      </w:pPr>
      <w:r w:rsidRPr="00415B42">
        <w:rPr>
          <w:rFonts w:ascii="Arial" w:hAnsi="Arial" w:cs="Arial"/>
          <w:lang w:val="en-US"/>
        </w:rPr>
        <w:t xml:space="preserve">Project title: </w:t>
      </w:r>
      <w:r w:rsidRPr="00415B42">
        <w:rPr>
          <w:rFonts w:ascii="Arial" w:hAnsi="Arial" w:cs="Arial"/>
          <w:i/>
          <w:iCs/>
          <w:lang w:val="en-US"/>
        </w:rPr>
        <w:t>"Computational analysis and functional validation of epithelial-mesenchymal interactions supporting tumour onset and progression using patient-derived models of colorectal cancer"</w:t>
      </w:r>
    </w:p>
    <w:p w14:paraId="5DB4F5DF" w14:textId="77C45FD4" w:rsidR="005A3302" w:rsidRPr="00415B42" w:rsidRDefault="005A3302" w:rsidP="000F5179">
      <w:pPr>
        <w:pBdr>
          <w:top w:val="single" w:sz="4" w:space="1" w:color="auto"/>
          <w:left w:val="single" w:sz="4" w:space="4" w:color="auto"/>
          <w:bottom w:val="single" w:sz="4" w:space="1" w:color="auto"/>
          <w:right w:val="single" w:sz="4" w:space="4" w:color="auto"/>
        </w:pBdr>
        <w:rPr>
          <w:rFonts w:ascii="Arial" w:hAnsi="Arial" w:cs="Arial"/>
          <w:lang w:val="en-US"/>
        </w:rPr>
      </w:pPr>
      <w:r w:rsidRPr="00415B42">
        <w:rPr>
          <w:rFonts w:ascii="Arial" w:hAnsi="Arial" w:cs="Arial"/>
          <w:lang w:val="en-US"/>
        </w:rPr>
        <w:t>Timeframe: September 2023 - March 2026</w:t>
      </w:r>
    </w:p>
    <w:p w14:paraId="1F279E9C" w14:textId="77777777" w:rsidR="005A3302" w:rsidRPr="00415B42" w:rsidRDefault="005A3302" w:rsidP="000F5179">
      <w:pPr>
        <w:pBdr>
          <w:top w:val="single" w:sz="4" w:space="1" w:color="auto"/>
          <w:left w:val="single" w:sz="4" w:space="4" w:color="auto"/>
          <w:bottom w:val="single" w:sz="4" w:space="1" w:color="auto"/>
          <w:right w:val="single" w:sz="4" w:space="4" w:color="auto"/>
        </w:pBdr>
        <w:rPr>
          <w:rFonts w:ascii="Arial" w:hAnsi="Arial" w:cs="Arial"/>
          <w:lang w:val="en-US"/>
        </w:rPr>
      </w:pPr>
    </w:p>
    <w:p w14:paraId="3F2040F7" w14:textId="39B99220" w:rsidR="000F5179" w:rsidRPr="00415B42" w:rsidRDefault="005A3302" w:rsidP="000F5179">
      <w:pPr>
        <w:pBdr>
          <w:top w:val="single" w:sz="4" w:space="1" w:color="auto"/>
          <w:left w:val="single" w:sz="4" w:space="4" w:color="auto"/>
          <w:bottom w:val="single" w:sz="4" w:space="1" w:color="auto"/>
          <w:right w:val="single" w:sz="4" w:space="4" w:color="auto"/>
        </w:pBdr>
        <w:rPr>
          <w:rFonts w:ascii="Arial" w:hAnsi="Arial" w:cs="Arial"/>
          <w:lang w:val="en-US"/>
        </w:rPr>
      </w:pPr>
      <w:r w:rsidRPr="00415B42">
        <w:rPr>
          <w:rFonts w:ascii="Arial" w:hAnsi="Arial" w:cs="Arial"/>
          <w:lang w:val="en-US"/>
        </w:rPr>
        <w:t xml:space="preserve">2. </w:t>
      </w:r>
      <w:r w:rsidR="000F5179" w:rsidRPr="00415B42">
        <w:rPr>
          <w:rFonts w:ascii="Arial" w:hAnsi="Arial" w:cs="Arial"/>
          <w:lang w:val="en-US"/>
        </w:rPr>
        <w:t>Regione Campania</w:t>
      </w:r>
    </w:p>
    <w:p w14:paraId="012D6C66" w14:textId="123EE00A" w:rsidR="000F5179" w:rsidRPr="00415B42" w:rsidRDefault="00AB76B6" w:rsidP="000F5179">
      <w:pPr>
        <w:pBdr>
          <w:top w:val="single" w:sz="4" w:space="1" w:color="auto"/>
          <w:left w:val="single" w:sz="4" w:space="4" w:color="auto"/>
          <w:bottom w:val="single" w:sz="4" w:space="1" w:color="auto"/>
          <w:right w:val="single" w:sz="4" w:space="4" w:color="auto"/>
        </w:pBdr>
        <w:rPr>
          <w:rFonts w:ascii="Arial" w:hAnsi="Arial" w:cs="Arial"/>
          <w:lang w:val="en-US"/>
        </w:rPr>
      </w:pPr>
      <w:r w:rsidRPr="00415B42">
        <w:rPr>
          <w:rFonts w:ascii="Arial" w:hAnsi="Arial" w:cs="Arial"/>
          <w:lang w:val="en-US"/>
        </w:rPr>
        <w:t>Project title</w:t>
      </w:r>
      <w:r w:rsidR="000F5179" w:rsidRPr="00415B42">
        <w:rPr>
          <w:rFonts w:ascii="Arial" w:hAnsi="Arial" w:cs="Arial"/>
          <w:lang w:val="en-US"/>
        </w:rPr>
        <w:t xml:space="preserve">: </w:t>
      </w:r>
      <w:r w:rsidR="000F5179" w:rsidRPr="00415B42">
        <w:rPr>
          <w:rFonts w:ascii="Arial" w:hAnsi="Arial" w:cs="Arial"/>
          <w:i/>
          <w:iCs/>
          <w:lang w:val="en-US"/>
        </w:rPr>
        <w:t>"Batten</w:t>
      </w:r>
      <w:r w:rsidRPr="00415B42">
        <w:rPr>
          <w:rFonts w:ascii="Arial" w:hAnsi="Arial" w:cs="Arial"/>
          <w:i/>
          <w:iCs/>
          <w:lang w:val="en-US"/>
        </w:rPr>
        <w:t xml:space="preserve"> disease and Lipid </w:t>
      </w:r>
      <w:r w:rsidR="000F5179" w:rsidRPr="00415B42">
        <w:rPr>
          <w:rFonts w:ascii="Arial" w:hAnsi="Arial" w:cs="Arial"/>
          <w:i/>
          <w:iCs/>
          <w:lang w:val="en-US"/>
        </w:rPr>
        <w:t>metabolism: pat</w:t>
      </w:r>
      <w:r w:rsidRPr="00415B42">
        <w:rPr>
          <w:rFonts w:ascii="Arial" w:hAnsi="Arial" w:cs="Arial"/>
          <w:i/>
          <w:iCs/>
          <w:lang w:val="en-US"/>
        </w:rPr>
        <w:t>h</w:t>
      </w:r>
      <w:r w:rsidR="000F5179" w:rsidRPr="00415B42">
        <w:rPr>
          <w:rFonts w:ascii="Arial" w:hAnsi="Arial" w:cs="Arial"/>
          <w:i/>
          <w:iCs/>
          <w:lang w:val="en-US"/>
        </w:rPr>
        <w:t>ogenesi</w:t>
      </w:r>
      <w:r w:rsidRPr="00415B42">
        <w:rPr>
          <w:rFonts w:ascii="Arial" w:hAnsi="Arial" w:cs="Arial"/>
          <w:i/>
          <w:iCs/>
          <w:lang w:val="en-US"/>
        </w:rPr>
        <w:t>s</w:t>
      </w:r>
      <w:r w:rsidR="000F5179" w:rsidRPr="00415B42">
        <w:rPr>
          <w:rFonts w:ascii="Arial" w:hAnsi="Arial" w:cs="Arial"/>
          <w:i/>
          <w:iCs/>
          <w:lang w:val="en-US"/>
        </w:rPr>
        <w:t>, diagnosi</w:t>
      </w:r>
      <w:r w:rsidRPr="00415B42">
        <w:rPr>
          <w:rFonts w:ascii="Arial" w:hAnsi="Arial" w:cs="Arial"/>
          <w:i/>
          <w:iCs/>
          <w:lang w:val="en-US"/>
        </w:rPr>
        <w:t>s</w:t>
      </w:r>
      <w:r w:rsidR="0068403E" w:rsidRPr="00415B42">
        <w:rPr>
          <w:rFonts w:ascii="Arial" w:hAnsi="Arial" w:cs="Arial"/>
          <w:i/>
          <w:iCs/>
          <w:lang w:val="en-US"/>
        </w:rPr>
        <w:t xml:space="preserve"> </w:t>
      </w:r>
      <w:r w:rsidRPr="00415B42">
        <w:rPr>
          <w:rFonts w:ascii="Arial" w:hAnsi="Arial" w:cs="Arial"/>
          <w:i/>
          <w:iCs/>
          <w:lang w:val="en-US"/>
        </w:rPr>
        <w:t>and</w:t>
      </w:r>
      <w:r w:rsidR="000F5179" w:rsidRPr="00415B42">
        <w:rPr>
          <w:rFonts w:ascii="Arial" w:hAnsi="Arial" w:cs="Arial"/>
          <w:i/>
          <w:iCs/>
          <w:lang w:val="en-US"/>
        </w:rPr>
        <w:t xml:space="preserve"> </w:t>
      </w:r>
      <w:r w:rsidRPr="00415B42">
        <w:rPr>
          <w:rFonts w:ascii="Arial" w:hAnsi="Arial" w:cs="Arial"/>
          <w:i/>
          <w:iCs/>
          <w:lang w:val="en-US"/>
        </w:rPr>
        <w:t>ph</w:t>
      </w:r>
      <w:r w:rsidR="000F5179" w:rsidRPr="00415B42">
        <w:rPr>
          <w:rFonts w:ascii="Arial" w:hAnsi="Arial" w:cs="Arial"/>
          <w:i/>
          <w:iCs/>
          <w:lang w:val="en-US"/>
        </w:rPr>
        <w:t>armacologic</w:t>
      </w:r>
      <w:r w:rsidRPr="00415B42">
        <w:rPr>
          <w:rFonts w:ascii="Arial" w:hAnsi="Arial" w:cs="Arial"/>
          <w:i/>
          <w:iCs/>
          <w:lang w:val="en-US"/>
        </w:rPr>
        <w:t>al approaches</w:t>
      </w:r>
      <w:r w:rsidR="000F5179" w:rsidRPr="00415B42">
        <w:rPr>
          <w:rFonts w:ascii="Arial" w:hAnsi="Arial" w:cs="Arial"/>
          <w:i/>
          <w:iCs/>
          <w:lang w:val="en-US"/>
        </w:rPr>
        <w:t xml:space="preserve">" </w:t>
      </w:r>
    </w:p>
    <w:p w14:paraId="3FE6685D" w14:textId="2BFD2787" w:rsidR="00FD54BF" w:rsidRPr="00415B42" w:rsidRDefault="000F5179" w:rsidP="000F5179">
      <w:pPr>
        <w:pBdr>
          <w:top w:val="single" w:sz="4" w:space="1" w:color="auto"/>
          <w:left w:val="single" w:sz="4" w:space="4" w:color="auto"/>
          <w:bottom w:val="single" w:sz="4" w:space="1" w:color="auto"/>
          <w:right w:val="single" w:sz="4" w:space="4" w:color="auto"/>
        </w:pBdr>
        <w:rPr>
          <w:rFonts w:ascii="Arial" w:hAnsi="Arial" w:cs="Arial"/>
          <w:lang w:val="en-US"/>
        </w:rPr>
      </w:pPr>
      <w:r w:rsidRPr="00415B42">
        <w:rPr>
          <w:rFonts w:ascii="Arial" w:hAnsi="Arial" w:cs="Arial"/>
          <w:lang w:val="en-US"/>
        </w:rPr>
        <w:t>Acron</w:t>
      </w:r>
      <w:r w:rsidR="00AB76B6" w:rsidRPr="00415B42">
        <w:rPr>
          <w:rFonts w:ascii="Arial" w:hAnsi="Arial" w:cs="Arial"/>
          <w:lang w:val="en-US"/>
        </w:rPr>
        <w:t>y</w:t>
      </w:r>
      <w:r w:rsidRPr="00415B42">
        <w:rPr>
          <w:rFonts w:ascii="Arial" w:hAnsi="Arial" w:cs="Arial"/>
          <w:lang w:val="en-US"/>
        </w:rPr>
        <w:t>m: BaLi</w:t>
      </w:r>
      <w:r w:rsidR="00AB76B6" w:rsidRPr="00415B42">
        <w:rPr>
          <w:rFonts w:ascii="Arial" w:hAnsi="Arial" w:cs="Arial"/>
          <w:lang w:val="en-US"/>
        </w:rPr>
        <w:t xml:space="preserve"> </w:t>
      </w:r>
    </w:p>
    <w:p w14:paraId="67A2AD50" w14:textId="6651F3A1" w:rsidR="005310A5" w:rsidRPr="00415B42" w:rsidRDefault="005A3302" w:rsidP="00FD54BF">
      <w:pPr>
        <w:pBdr>
          <w:top w:val="single" w:sz="4" w:space="1" w:color="auto"/>
          <w:left w:val="single" w:sz="4" w:space="4" w:color="auto"/>
          <w:bottom w:val="single" w:sz="4" w:space="1" w:color="auto"/>
          <w:right w:val="single" w:sz="4" w:space="4" w:color="auto"/>
        </w:pBdr>
        <w:rPr>
          <w:rFonts w:ascii="Arial" w:hAnsi="Arial" w:cs="Arial"/>
          <w:lang w:val="en-US"/>
        </w:rPr>
      </w:pPr>
      <w:r w:rsidRPr="00415B42">
        <w:rPr>
          <w:rFonts w:ascii="Arial" w:hAnsi="Arial" w:cs="Arial"/>
          <w:lang w:val="en-US"/>
        </w:rPr>
        <w:t>Timeframe: June 2025 - May 2027</w:t>
      </w:r>
    </w:p>
    <w:p w14:paraId="7E677424" w14:textId="77777777" w:rsidR="005310A5" w:rsidRPr="00C303F2" w:rsidRDefault="005310A5" w:rsidP="005310A5">
      <w:pPr>
        <w:rPr>
          <w:rFonts w:ascii="Arial" w:hAnsi="Arial" w:cs="Arial"/>
          <w:lang w:val="en-US"/>
        </w:rPr>
      </w:pPr>
    </w:p>
    <w:p w14:paraId="4916F18C" w14:textId="77777777" w:rsidR="00FD54BF" w:rsidRPr="00C303F2" w:rsidRDefault="00FD54BF">
      <w:pPr>
        <w:rPr>
          <w:rFonts w:ascii="Arial" w:hAnsi="Arial" w:cs="Arial"/>
          <w:lang w:val="en-US"/>
        </w:rPr>
      </w:pPr>
    </w:p>
    <w:sectPr w:rsidR="00FD54BF" w:rsidRPr="00C303F2"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68CD"/>
    <w:multiLevelType w:val="hybridMultilevel"/>
    <w:tmpl w:val="D5F4B400"/>
    <w:lvl w:ilvl="0" w:tplc="2E60867C">
      <w:start w:val="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B416E2"/>
    <w:multiLevelType w:val="hybridMultilevel"/>
    <w:tmpl w:val="9856C16A"/>
    <w:lvl w:ilvl="0" w:tplc="876AC6FE">
      <w:start w:val="1"/>
      <w:numFmt w:val="decimal"/>
      <w:lvlText w:val="%1."/>
      <w:lvlJc w:val="left"/>
      <w:pPr>
        <w:tabs>
          <w:tab w:val="num" w:pos="720"/>
        </w:tabs>
        <w:ind w:left="720" w:hanging="360"/>
      </w:pPr>
      <w:rPr>
        <w:rFonts w:hint="default"/>
        <w:b w:val="0"/>
        <w:i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35296268">
    <w:abstractNumId w:val="1"/>
  </w:num>
  <w:num w:numId="2" w16cid:durableId="710955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BF"/>
    <w:rsid w:val="00005835"/>
    <w:rsid w:val="000508FF"/>
    <w:rsid w:val="00053C76"/>
    <w:rsid w:val="000F5179"/>
    <w:rsid w:val="003C0D4F"/>
    <w:rsid w:val="0040578A"/>
    <w:rsid w:val="004076E2"/>
    <w:rsid w:val="00415B42"/>
    <w:rsid w:val="004A0B63"/>
    <w:rsid w:val="004A46C1"/>
    <w:rsid w:val="005310A5"/>
    <w:rsid w:val="00546DC9"/>
    <w:rsid w:val="0055430F"/>
    <w:rsid w:val="00595A3B"/>
    <w:rsid w:val="005A3302"/>
    <w:rsid w:val="005B287D"/>
    <w:rsid w:val="005E3DA9"/>
    <w:rsid w:val="0062306C"/>
    <w:rsid w:val="00644AE1"/>
    <w:rsid w:val="0068403E"/>
    <w:rsid w:val="008104E4"/>
    <w:rsid w:val="00872CF8"/>
    <w:rsid w:val="0087758B"/>
    <w:rsid w:val="00880BA1"/>
    <w:rsid w:val="008830F8"/>
    <w:rsid w:val="008F2668"/>
    <w:rsid w:val="00915351"/>
    <w:rsid w:val="00956DAD"/>
    <w:rsid w:val="009879E9"/>
    <w:rsid w:val="009F211E"/>
    <w:rsid w:val="00A14493"/>
    <w:rsid w:val="00A271B0"/>
    <w:rsid w:val="00A83D38"/>
    <w:rsid w:val="00AB76B6"/>
    <w:rsid w:val="00AE7007"/>
    <w:rsid w:val="00B20A2C"/>
    <w:rsid w:val="00B6741F"/>
    <w:rsid w:val="00C12D2B"/>
    <w:rsid w:val="00C303F2"/>
    <w:rsid w:val="00C64266"/>
    <w:rsid w:val="00C64A6E"/>
    <w:rsid w:val="00CA37A2"/>
    <w:rsid w:val="00CB52A7"/>
    <w:rsid w:val="00E60401"/>
    <w:rsid w:val="00EA525D"/>
    <w:rsid w:val="00F877D5"/>
    <w:rsid w:val="00FA01FA"/>
    <w:rsid w:val="00FC367B"/>
    <w:rsid w:val="00FD54BF"/>
    <w:rsid w:val="00FE68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CBDE7FB"/>
  <w15:chartTrackingRefBased/>
  <w15:docId w15:val="{F87D8A5B-5CA8-F141-A74C-31D3C49C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72"/>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 w:type="paragraph" w:customStyle="1" w:styleId="Elencoacolori-Colore11">
    <w:name w:val="Elenco a colori - Colore 11"/>
    <w:basedOn w:val="Normale"/>
    <w:uiPriority w:val="34"/>
    <w:qFormat/>
    <w:rsid w:val="00872CF8"/>
    <w:pPr>
      <w:ind w:left="720"/>
      <w:contextualSpacing/>
    </w:pPr>
    <w:rPr>
      <w:rFonts w:ascii="Cambria" w:eastAsia="MS Mincho" w:hAnsi="Cambria" w:cs="Times New Roman"/>
      <w:kern w:val="0"/>
      <w:lang w:eastAsia="it-IT"/>
      <w14:ligatures w14:val="none"/>
    </w:rPr>
  </w:style>
  <w:style w:type="character" w:styleId="Collegamentoipertestuale">
    <w:name w:val="Hyperlink"/>
    <w:basedOn w:val="Carpredefinitoparagrafo"/>
    <w:uiPriority w:val="99"/>
    <w:unhideWhenUsed/>
    <w:rsid w:val="00415B42"/>
    <w:rPr>
      <w:color w:val="467886" w:themeColor="hyperlink"/>
      <w:u w:val="single"/>
    </w:rPr>
  </w:style>
  <w:style w:type="character" w:styleId="Menzionenonrisolta">
    <w:name w:val="Unresolved Mention"/>
    <w:basedOn w:val="Carpredefinitoparagrafo"/>
    <w:uiPriority w:val="99"/>
    <w:rsid w:val="00415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234465">
      <w:bodyDiv w:val="1"/>
      <w:marLeft w:val="0"/>
      <w:marRight w:val="0"/>
      <w:marTop w:val="0"/>
      <w:marBottom w:val="0"/>
      <w:divBdr>
        <w:top w:val="none" w:sz="0" w:space="0" w:color="auto"/>
        <w:left w:val="none" w:sz="0" w:space="0" w:color="auto"/>
        <w:bottom w:val="none" w:sz="0" w:space="0" w:color="auto"/>
        <w:right w:val="none" w:sz="0" w:space="0" w:color="auto"/>
      </w:divBdr>
    </w:div>
    <w:div w:id="103122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ocenti.unin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819</Words>
  <Characters>4829</Characters>
  <Application>Microsoft Office Word</Application>
  <DocSecurity>0</DocSecurity>
  <Lines>96</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FRANCESCA CARLOMAGNO</cp:lastModifiedBy>
  <cp:revision>21</cp:revision>
  <dcterms:created xsi:type="dcterms:W3CDTF">2025-08-14T07:40:00Z</dcterms:created>
  <dcterms:modified xsi:type="dcterms:W3CDTF">2026-01-27T11:06:00Z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