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B70D5" w14:textId="3B81116E" w:rsidR="00FD54BF" w:rsidRPr="004C4694" w:rsidRDefault="009F211E">
      <w:pPr>
        <w:rPr>
          <w:rFonts w:ascii="Arial" w:hAnsi="Arial" w:cs="Arial"/>
          <w:b/>
          <w:bCs/>
        </w:rPr>
      </w:pPr>
      <w:r w:rsidRPr="004C4694">
        <w:rPr>
          <w:rFonts w:ascii="Arial" w:hAnsi="Arial" w:cs="Arial"/>
          <w:b/>
          <w:bCs/>
        </w:rPr>
        <w:t xml:space="preserve">PI </w:t>
      </w:r>
    </w:p>
    <w:p w14:paraId="4497EA79" w14:textId="3DFCBE83" w:rsidR="00FD54BF" w:rsidRPr="004C4694" w:rsidRDefault="00406026" w:rsidP="00FD54BF">
      <w:pPr>
        <w:pBdr>
          <w:top w:val="single" w:sz="4" w:space="1" w:color="auto"/>
          <w:left w:val="single" w:sz="4" w:space="4" w:color="auto"/>
          <w:bottom w:val="single" w:sz="4" w:space="1" w:color="auto"/>
          <w:right w:val="single" w:sz="4" w:space="4" w:color="auto"/>
        </w:pBdr>
        <w:rPr>
          <w:rFonts w:ascii="Arial" w:hAnsi="Arial" w:cs="Arial"/>
        </w:rPr>
      </w:pPr>
      <w:hyperlink r:id="rId4" w:anchor="!/professor/44414e494c4f46494f5245465249444e4c38374531384638333945/riferimenti" w:history="1">
        <w:r w:rsidRPr="004C4694">
          <w:rPr>
            <w:rStyle w:val="Collegamentoipertestuale"/>
            <w:rFonts w:ascii="Arial" w:hAnsi="Arial" w:cs="Arial"/>
          </w:rPr>
          <w:t>Danilo Fiore</w:t>
        </w:r>
      </w:hyperlink>
      <w:r w:rsidR="00625F4D" w:rsidRPr="004C4694">
        <w:rPr>
          <w:rFonts w:ascii="Arial" w:hAnsi="Arial" w:cs="Arial"/>
        </w:rPr>
        <w:t>, Associate Professor</w:t>
      </w:r>
    </w:p>
    <w:p w14:paraId="2FA46921" w14:textId="77777777" w:rsidR="00FD54BF" w:rsidRPr="004C4694" w:rsidRDefault="00FD54BF">
      <w:pPr>
        <w:rPr>
          <w:rFonts w:ascii="Arial" w:hAnsi="Arial" w:cs="Arial"/>
        </w:rPr>
      </w:pPr>
    </w:p>
    <w:p w14:paraId="30797954" w14:textId="61868379" w:rsidR="00FD54BF" w:rsidRPr="004C4694" w:rsidRDefault="009F211E">
      <w:pPr>
        <w:rPr>
          <w:rFonts w:ascii="Arial" w:hAnsi="Arial" w:cs="Arial"/>
        </w:rPr>
      </w:pPr>
      <w:r w:rsidRPr="004C4694">
        <w:rPr>
          <w:rFonts w:ascii="Arial" w:hAnsi="Arial" w:cs="Arial"/>
          <w:b/>
          <w:bCs/>
        </w:rPr>
        <w:t>GROUP</w:t>
      </w:r>
    </w:p>
    <w:p w14:paraId="74D67FFF" w14:textId="0F924F0F" w:rsidR="00FD54BF" w:rsidRDefault="00406026" w:rsidP="00FD54BF">
      <w:pPr>
        <w:pBdr>
          <w:top w:val="single" w:sz="4" w:space="1" w:color="auto"/>
          <w:left w:val="single" w:sz="4" w:space="4" w:color="auto"/>
          <w:bottom w:val="single" w:sz="4" w:space="1" w:color="auto"/>
          <w:right w:val="single" w:sz="4" w:space="4" w:color="auto"/>
        </w:pBdr>
        <w:rPr>
          <w:rFonts w:ascii="Arial" w:hAnsi="Arial" w:cs="Arial"/>
          <w:lang w:val="en-US"/>
        </w:rPr>
      </w:pPr>
      <w:r w:rsidRPr="004C4694">
        <w:rPr>
          <w:rFonts w:ascii="Arial" w:hAnsi="Arial" w:cs="Arial"/>
          <w:lang w:val="en-US"/>
        </w:rPr>
        <w:t>Claudia Pignataro</w:t>
      </w:r>
      <w:r w:rsidR="004C4694">
        <w:rPr>
          <w:rFonts w:ascii="Arial" w:hAnsi="Arial" w:cs="Arial"/>
          <w:lang w:val="en-US"/>
        </w:rPr>
        <w:t>, PhD student</w:t>
      </w:r>
    </w:p>
    <w:p w14:paraId="5860F3E3" w14:textId="4DF78066" w:rsidR="004C4694" w:rsidRPr="004C4694" w:rsidRDefault="004C4694" w:rsidP="00FD54BF">
      <w:pPr>
        <w:pBdr>
          <w:top w:val="single" w:sz="4" w:space="1" w:color="auto"/>
          <w:left w:val="single" w:sz="4" w:space="4" w:color="auto"/>
          <w:bottom w:val="single" w:sz="4" w:space="1" w:color="auto"/>
          <w:right w:val="single" w:sz="4" w:space="4" w:color="auto"/>
        </w:pBdr>
        <w:rPr>
          <w:rFonts w:ascii="Arial" w:hAnsi="Arial" w:cs="Arial"/>
          <w:lang w:val="en-US"/>
        </w:rPr>
      </w:pPr>
      <w:r w:rsidRPr="004C4694">
        <w:rPr>
          <w:rFonts w:ascii="Arial" w:hAnsi="Arial" w:cs="Arial"/>
          <w:lang w:val="en-US"/>
        </w:rPr>
        <w:t>Yuri Ciro Veneruso, PhD studen</w:t>
      </w:r>
      <w:r>
        <w:rPr>
          <w:rFonts w:ascii="Arial" w:hAnsi="Arial" w:cs="Arial"/>
          <w:lang w:val="en-US"/>
        </w:rPr>
        <w:t>t</w:t>
      </w:r>
    </w:p>
    <w:p w14:paraId="2417F220" w14:textId="77777777" w:rsidR="00053C76" w:rsidRPr="00A80A68" w:rsidRDefault="00053C76" w:rsidP="00053C76">
      <w:pPr>
        <w:rPr>
          <w:rFonts w:ascii="Arial" w:hAnsi="Arial" w:cs="Arial"/>
          <w:lang w:val="en-US"/>
        </w:rPr>
      </w:pPr>
    </w:p>
    <w:p w14:paraId="59BDA3FB" w14:textId="089AC41F" w:rsidR="00053C76" w:rsidRPr="00406026" w:rsidRDefault="00053C76" w:rsidP="00053C76">
      <w:pPr>
        <w:rPr>
          <w:rFonts w:ascii="Arial" w:hAnsi="Arial" w:cs="Arial"/>
          <w:b/>
          <w:bCs/>
          <w:lang w:val="en-US"/>
        </w:rPr>
      </w:pPr>
      <w:r w:rsidRPr="00406026">
        <w:rPr>
          <w:rFonts w:ascii="Arial" w:hAnsi="Arial" w:cs="Arial"/>
          <w:b/>
          <w:bCs/>
          <w:lang w:val="en-US"/>
        </w:rPr>
        <w:t>RESEARCH FIELD</w:t>
      </w:r>
    </w:p>
    <w:p w14:paraId="0E4EAD99" w14:textId="61D607D0" w:rsidR="00053C76" w:rsidRPr="00406026" w:rsidRDefault="00406026" w:rsidP="00053C76">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t>Lymphoma pathobiology</w:t>
      </w:r>
    </w:p>
    <w:p w14:paraId="0A366C3B" w14:textId="77777777" w:rsidR="00F877D5" w:rsidRPr="00406026" w:rsidRDefault="00F877D5" w:rsidP="00F877D5">
      <w:pPr>
        <w:rPr>
          <w:rFonts w:ascii="Arial" w:hAnsi="Arial" w:cs="Arial"/>
          <w:lang w:val="en-US"/>
        </w:rPr>
      </w:pPr>
    </w:p>
    <w:p w14:paraId="31461A76" w14:textId="5B1E8C56" w:rsidR="00F877D5" w:rsidRPr="00406026" w:rsidRDefault="00F877D5" w:rsidP="00F877D5">
      <w:pPr>
        <w:rPr>
          <w:rFonts w:ascii="Arial" w:hAnsi="Arial" w:cs="Arial"/>
          <w:lang w:val="en-US"/>
        </w:rPr>
      </w:pPr>
      <w:r w:rsidRPr="00406026">
        <w:rPr>
          <w:rFonts w:ascii="Arial" w:hAnsi="Arial" w:cs="Arial"/>
          <w:b/>
          <w:bCs/>
          <w:lang w:val="en-US"/>
        </w:rPr>
        <w:t>KEYWORDS</w:t>
      </w:r>
      <w:r w:rsidRPr="00406026">
        <w:rPr>
          <w:rFonts w:ascii="Arial" w:hAnsi="Arial" w:cs="Arial"/>
          <w:lang w:val="en-US"/>
        </w:rPr>
        <w:t xml:space="preserve"> </w:t>
      </w:r>
    </w:p>
    <w:p w14:paraId="532A94C1" w14:textId="5B92C4BE" w:rsidR="00F877D5" w:rsidRPr="00406026" w:rsidRDefault="00406026" w:rsidP="00F877D5">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t>Lymphoma, drug resistance, microenvironment, precision medicine</w:t>
      </w:r>
    </w:p>
    <w:p w14:paraId="68F83D14" w14:textId="77777777" w:rsidR="00FD54BF" w:rsidRPr="00406026" w:rsidRDefault="00FD54BF">
      <w:pPr>
        <w:rPr>
          <w:rFonts w:ascii="Arial" w:hAnsi="Arial" w:cs="Arial"/>
          <w:lang w:val="en-US"/>
        </w:rPr>
      </w:pPr>
    </w:p>
    <w:p w14:paraId="2C5E6988" w14:textId="3DFA9E67" w:rsidR="00FD54BF" w:rsidRPr="00406026" w:rsidRDefault="00FD54BF" w:rsidP="000A4111">
      <w:pPr>
        <w:rPr>
          <w:rFonts w:ascii="Arial" w:hAnsi="Arial" w:cs="Arial"/>
          <w:lang w:val="en-US"/>
        </w:rPr>
      </w:pPr>
      <w:r w:rsidRPr="00406026">
        <w:rPr>
          <w:rFonts w:ascii="Arial" w:hAnsi="Arial" w:cs="Arial"/>
          <w:b/>
          <w:bCs/>
          <w:lang w:val="en-US"/>
        </w:rPr>
        <w:t>ABSTRACT</w:t>
      </w:r>
      <w:r w:rsidRPr="00406026">
        <w:rPr>
          <w:rFonts w:ascii="Arial" w:hAnsi="Arial" w:cs="Arial"/>
          <w:lang w:val="en-US"/>
        </w:rPr>
        <w:t xml:space="preserve"> </w:t>
      </w:r>
    </w:p>
    <w:p w14:paraId="04BBE7A8" w14:textId="1FB51EB0" w:rsidR="000A4111" w:rsidRPr="000A4111" w:rsidRDefault="00642B51" w:rsidP="000A4111">
      <w:pPr>
        <w:pBdr>
          <w:top w:val="single" w:sz="4" w:space="1" w:color="auto"/>
          <w:left w:val="single" w:sz="4" w:space="4" w:color="auto"/>
          <w:bottom w:val="single" w:sz="4" w:space="1" w:color="auto"/>
          <w:right w:val="single" w:sz="4" w:space="4" w:color="auto"/>
        </w:pBdr>
        <w:jc w:val="both"/>
        <w:rPr>
          <w:rFonts w:ascii="Arial" w:hAnsi="Arial" w:cs="Arial"/>
          <w:lang w:val="en-US"/>
        </w:rPr>
      </w:pPr>
      <w:r>
        <w:rPr>
          <w:rFonts w:ascii="Arial" w:hAnsi="Arial" w:cs="Arial"/>
          <w:lang w:val="en-US"/>
        </w:rPr>
        <w:t>We aim to dissect</w:t>
      </w:r>
      <w:r w:rsidR="000A4111" w:rsidRPr="000A4111">
        <w:rPr>
          <w:rFonts w:ascii="Arial" w:hAnsi="Arial" w:cs="Arial"/>
          <w:lang w:val="en-US"/>
        </w:rPr>
        <w:t xml:space="preserve"> the molecular and microenvironmental mechanisms that drive therapeutic resistance in Peripheral T-cell Lymphomas (PTCL), with a specific emphasis on Anaplastic Large Cell Lymphoma (ALCL), and on leveraging patient-derived models to uncover actionable vulnerabilities and improve treatment strategies.</w:t>
      </w:r>
    </w:p>
    <w:p w14:paraId="37B2CC42" w14:textId="614C28FF" w:rsidR="000A4111" w:rsidRPr="000A4111" w:rsidRDefault="000A4111" w:rsidP="000A4111">
      <w:pPr>
        <w:pBdr>
          <w:top w:val="single" w:sz="4" w:space="1" w:color="auto"/>
          <w:left w:val="single" w:sz="4" w:space="4" w:color="auto"/>
          <w:bottom w:val="single" w:sz="4" w:space="1" w:color="auto"/>
          <w:right w:val="single" w:sz="4" w:space="4" w:color="auto"/>
        </w:pBdr>
        <w:jc w:val="both"/>
        <w:rPr>
          <w:rFonts w:ascii="Arial" w:hAnsi="Arial" w:cs="Arial"/>
          <w:lang w:val="en-US"/>
        </w:rPr>
      </w:pPr>
      <w:r w:rsidRPr="000A4111">
        <w:rPr>
          <w:rFonts w:ascii="Arial" w:hAnsi="Arial" w:cs="Arial"/>
          <w:lang w:val="en-US"/>
        </w:rPr>
        <w:t>Despite recent advances, PTCLs remain highly heterogeneous malignancies with poor outcomes and limited therapeutic options. This is evident in ALCL, where resistance to first-line chemotherapy and targeted agents like crizotinib</w:t>
      </w:r>
      <w:r w:rsidR="001610A0">
        <w:rPr>
          <w:rFonts w:ascii="Arial" w:hAnsi="Arial" w:cs="Arial"/>
          <w:lang w:val="en-US"/>
        </w:rPr>
        <w:t xml:space="preserve"> (ALK inhibitor)</w:t>
      </w:r>
      <w:r w:rsidRPr="000A4111">
        <w:rPr>
          <w:rFonts w:ascii="Arial" w:hAnsi="Arial" w:cs="Arial"/>
          <w:lang w:val="en-US"/>
        </w:rPr>
        <w:t xml:space="preserve"> frequently leads to aggressive relapses. Through integrative transcriptomic and functional approaches, </w:t>
      </w:r>
      <w:r w:rsidR="007F449C">
        <w:rPr>
          <w:rFonts w:ascii="Arial" w:hAnsi="Arial" w:cs="Arial"/>
          <w:lang w:val="en-US"/>
        </w:rPr>
        <w:t>we</w:t>
      </w:r>
      <w:r w:rsidRPr="000A4111">
        <w:rPr>
          <w:rFonts w:ascii="Arial" w:hAnsi="Arial" w:cs="Arial"/>
          <w:lang w:val="en-US"/>
        </w:rPr>
        <w:t xml:space="preserve"> have dissected both intrinsic oncogenic pathways and extrinsic microenvironment-mediated mechanisms that contribute to treatment resistance. </w:t>
      </w:r>
      <w:r w:rsidR="007F449C">
        <w:rPr>
          <w:rFonts w:ascii="Arial" w:hAnsi="Arial" w:cs="Arial"/>
          <w:lang w:val="en-US"/>
        </w:rPr>
        <w:t>Our</w:t>
      </w:r>
      <w:r w:rsidRPr="000A4111">
        <w:rPr>
          <w:rFonts w:ascii="Arial" w:hAnsi="Arial" w:cs="Arial"/>
          <w:lang w:val="en-US"/>
        </w:rPr>
        <w:t xml:space="preserve"> work demonstrated that the tumor microenvironment – especially cancer-associated fibroblasts (CAFs) – plays a crucial role in sustaining survival signals in ALK+ ALCL cells exposed to crizotinib. These survival cues, including the upregulation of BCL2 and downregulation of apoptotic pathways, promote a state of drug tolerance. By combining BH3 mimetics with crizotinib, </w:t>
      </w:r>
      <w:r w:rsidR="003428DA">
        <w:rPr>
          <w:rFonts w:ascii="Arial" w:hAnsi="Arial" w:cs="Arial"/>
          <w:lang w:val="en-US"/>
        </w:rPr>
        <w:t>we</w:t>
      </w:r>
      <w:r w:rsidRPr="000A4111">
        <w:rPr>
          <w:rFonts w:ascii="Arial" w:hAnsi="Arial" w:cs="Arial"/>
          <w:lang w:val="en-US"/>
        </w:rPr>
        <w:t xml:space="preserve"> identified a synthetic lethal interaction that effectively overcomes stromal protection and eradicates crizotinib-persistent lymphoma cells. These findings provide a strong rationale for combinatorial therapeutic strategies that simultaneously target both tumor-intrinsic and microenvironment-derived survival pathways.</w:t>
      </w:r>
    </w:p>
    <w:p w14:paraId="6152CA9A" w14:textId="4E254BEB" w:rsidR="000A4111" w:rsidRPr="000A4111" w:rsidRDefault="000A4111" w:rsidP="000A4111">
      <w:pPr>
        <w:pBdr>
          <w:top w:val="single" w:sz="4" w:space="1" w:color="auto"/>
          <w:left w:val="single" w:sz="4" w:space="4" w:color="auto"/>
          <w:bottom w:val="single" w:sz="4" w:space="1" w:color="auto"/>
          <w:right w:val="single" w:sz="4" w:space="4" w:color="auto"/>
        </w:pBdr>
        <w:jc w:val="both"/>
        <w:rPr>
          <w:rFonts w:ascii="Arial" w:hAnsi="Arial" w:cs="Arial"/>
          <w:lang w:val="en-US"/>
        </w:rPr>
      </w:pPr>
      <w:r w:rsidRPr="000A4111">
        <w:rPr>
          <w:rFonts w:ascii="Arial" w:hAnsi="Arial" w:cs="Arial"/>
          <w:lang w:val="en-US"/>
        </w:rPr>
        <w:t xml:space="preserve">To extend these discoveries beyond ALK+ ALCL and capture the complexity of PTCL, </w:t>
      </w:r>
      <w:r w:rsidR="00A20A61">
        <w:rPr>
          <w:rFonts w:ascii="Arial" w:hAnsi="Arial" w:cs="Arial"/>
          <w:lang w:val="en-US"/>
        </w:rPr>
        <w:t>we</w:t>
      </w:r>
      <w:r w:rsidRPr="000A4111">
        <w:rPr>
          <w:rFonts w:ascii="Arial" w:hAnsi="Arial" w:cs="Arial"/>
          <w:lang w:val="en-US"/>
        </w:rPr>
        <w:t xml:space="preserve"> established a comprehensive biobank of patient-derived tumor </w:t>
      </w:r>
      <w:r w:rsidR="007134F4">
        <w:rPr>
          <w:rFonts w:ascii="Arial" w:hAnsi="Arial" w:cs="Arial"/>
          <w:lang w:val="en-US"/>
        </w:rPr>
        <w:t>models</w:t>
      </w:r>
      <w:r w:rsidRPr="000A4111">
        <w:rPr>
          <w:rFonts w:ascii="Arial" w:hAnsi="Arial" w:cs="Arial"/>
          <w:lang w:val="en-US"/>
        </w:rPr>
        <w:t xml:space="preserve"> from common and rare PTCL subtypes. These models faithfully recapitulate the genomic, transcriptomic, and immunophenotypic features of primary tumors, including clonal evolution and microenvironmental interactions. Leveraging bulk and single-cell transcriptomics, </w:t>
      </w:r>
      <w:r w:rsidR="00A20A61">
        <w:rPr>
          <w:rFonts w:ascii="Arial" w:hAnsi="Arial" w:cs="Arial"/>
          <w:lang w:val="en-US"/>
        </w:rPr>
        <w:t>we</w:t>
      </w:r>
      <w:r w:rsidRPr="000A4111">
        <w:rPr>
          <w:rFonts w:ascii="Arial" w:hAnsi="Arial" w:cs="Arial"/>
          <w:lang w:val="en-US"/>
        </w:rPr>
        <w:t xml:space="preserve"> identified distinct tumor microenvironment subtypes across PTCL and demonstrated their impact on disease progression and therapeutic response. Importantly, </w:t>
      </w:r>
      <w:r w:rsidR="007476DF">
        <w:rPr>
          <w:rFonts w:ascii="Arial" w:hAnsi="Arial" w:cs="Arial"/>
          <w:lang w:val="en-US"/>
        </w:rPr>
        <w:t>we</w:t>
      </w:r>
      <w:r w:rsidRPr="000A4111">
        <w:rPr>
          <w:rFonts w:ascii="Arial" w:hAnsi="Arial" w:cs="Arial"/>
          <w:lang w:val="en-US"/>
        </w:rPr>
        <w:t xml:space="preserve"> used these models to uncover host-mediated mechanisms of drug resistance and to perform high-throughput in vitro and in vivo pharmacologic screening. This effort enabled the identification of predictive biomarkers, effective drug combinations, and tumor-host interactions that modulate drug sensitivity.</w:t>
      </w:r>
    </w:p>
    <w:p w14:paraId="403372DA" w14:textId="4E0CC1EA" w:rsidR="000A4111" w:rsidRPr="000A4111" w:rsidRDefault="00BA57B7" w:rsidP="000A4111">
      <w:pPr>
        <w:pBdr>
          <w:top w:val="single" w:sz="4" w:space="1" w:color="auto"/>
          <w:left w:val="single" w:sz="4" w:space="4" w:color="auto"/>
          <w:bottom w:val="single" w:sz="4" w:space="1" w:color="auto"/>
          <w:right w:val="single" w:sz="4" w:space="4" w:color="auto"/>
        </w:pBdr>
        <w:jc w:val="both"/>
        <w:rPr>
          <w:rFonts w:ascii="Arial" w:hAnsi="Arial" w:cs="Arial"/>
          <w:lang w:val="en-US"/>
        </w:rPr>
      </w:pPr>
      <w:r>
        <w:rPr>
          <w:rFonts w:ascii="Arial" w:hAnsi="Arial" w:cs="Arial"/>
          <w:lang w:val="en-US"/>
        </w:rPr>
        <w:t>Our</w:t>
      </w:r>
      <w:r w:rsidR="000A4111" w:rsidRPr="000A4111">
        <w:rPr>
          <w:rFonts w:ascii="Arial" w:hAnsi="Arial" w:cs="Arial"/>
          <w:lang w:val="en-US"/>
        </w:rPr>
        <w:t xml:space="preserve"> ongoing research aims to integrate deep molecular profiling, functional assays, and </w:t>
      </w:r>
      <w:r w:rsidR="00F80574">
        <w:rPr>
          <w:rFonts w:ascii="Arial" w:hAnsi="Arial" w:cs="Arial"/>
          <w:lang w:val="en-US"/>
        </w:rPr>
        <w:t xml:space="preserve">precision </w:t>
      </w:r>
      <w:r w:rsidR="00473F2E">
        <w:rPr>
          <w:rFonts w:ascii="Arial" w:hAnsi="Arial" w:cs="Arial"/>
          <w:lang w:val="en-US"/>
        </w:rPr>
        <w:t>medicine-based</w:t>
      </w:r>
      <w:r w:rsidR="00F80574">
        <w:rPr>
          <w:rFonts w:ascii="Arial" w:hAnsi="Arial" w:cs="Arial"/>
          <w:lang w:val="en-US"/>
        </w:rPr>
        <w:t xml:space="preserve"> approache</w:t>
      </w:r>
      <w:r w:rsidR="000A4111" w:rsidRPr="000A4111">
        <w:rPr>
          <w:rFonts w:ascii="Arial" w:hAnsi="Arial" w:cs="Arial"/>
          <w:lang w:val="en-US"/>
        </w:rPr>
        <w:t xml:space="preserve">s to </w:t>
      </w:r>
      <w:r w:rsidR="00473F2E">
        <w:rPr>
          <w:rFonts w:ascii="Arial" w:hAnsi="Arial" w:cs="Arial"/>
          <w:lang w:val="en-US"/>
        </w:rPr>
        <w:t>identify</w:t>
      </w:r>
      <w:r w:rsidR="000A4111" w:rsidRPr="000A4111">
        <w:rPr>
          <w:rFonts w:ascii="Arial" w:hAnsi="Arial" w:cs="Arial"/>
          <w:lang w:val="en-US"/>
        </w:rPr>
        <w:t xml:space="preserve"> patient-specific vulnerabilities and rationally design combination therapies. By utilizing PTCL </w:t>
      </w:r>
      <w:r w:rsidR="00CF1EEC">
        <w:rPr>
          <w:rFonts w:ascii="Arial" w:hAnsi="Arial" w:cs="Arial"/>
          <w:lang w:val="en-US"/>
        </w:rPr>
        <w:t>models</w:t>
      </w:r>
      <w:r w:rsidR="000A4111" w:rsidRPr="000A4111">
        <w:rPr>
          <w:rFonts w:ascii="Arial" w:hAnsi="Arial" w:cs="Arial"/>
          <w:lang w:val="en-US"/>
        </w:rPr>
        <w:t xml:space="preserve">, </w:t>
      </w:r>
      <w:r w:rsidR="00DE3367">
        <w:rPr>
          <w:rFonts w:ascii="Arial" w:hAnsi="Arial" w:cs="Arial"/>
          <w:lang w:val="en-US"/>
        </w:rPr>
        <w:t>we are</w:t>
      </w:r>
      <w:r w:rsidR="000A4111" w:rsidRPr="000A4111">
        <w:rPr>
          <w:rFonts w:ascii="Arial" w:hAnsi="Arial" w:cs="Arial"/>
          <w:lang w:val="en-US"/>
        </w:rPr>
        <w:t xml:space="preserve"> actively investigating the co-evolution of tumor and microenvironment under therapeutic pressure, the emergence of drug-tolerant </w:t>
      </w:r>
      <w:proofErr w:type="spellStart"/>
      <w:r w:rsidR="000A4111" w:rsidRPr="000A4111">
        <w:rPr>
          <w:rFonts w:ascii="Arial" w:hAnsi="Arial" w:cs="Arial"/>
          <w:lang w:val="en-US"/>
        </w:rPr>
        <w:t>persister</w:t>
      </w:r>
      <w:proofErr w:type="spellEnd"/>
      <w:r w:rsidR="000A4111" w:rsidRPr="000A4111">
        <w:rPr>
          <w:rFonts w:ascii="Arial" w:hAnsi="Arial" w:cs="Arial"/>
          <w:lang w:val="en-US"/>
        </w:rPr>
        <w:t xml:space="preserve"> states, and the rewiring of oncogenic signaling in response to selective pressure.</w:t>
      </w:r>
    </w:p>
    <w:p w14:paraId="7ED61725" w14:textId="1A518582" w:rsidR="00F877D5" w:rsidRPr="00406026" w:rsidRDefault="000A4111" w:rsidP="00E174D9">
      <w:pPr>
        <w:pBdr>
          <w:top w:val="single" w:sz="4" w:space="1" w:color="auto"/>
          <w:left w:val="single" w:sz="4" w:space="4" w:color="auto"/>
          <w:bottom w:val="single" w:sz="4" w:space="1" w:color="auto"/>
          <w:right w:val="single" w:sz="4" w:space="4" w:color="auto"/>
        </w:pBdr>
        <w:jc w:val="both"/>
        <w:rPr>
          <w:rFonts w:ascii="Arial" w:hAnsi="Arial" w:cs="Arial"/>
          <w:lang w:val="en-US"/>
        </w:rPr>
      </w:pPr>
      <w:r w:rsidRPr="000A4111">
        <w:rPr>
          <w:rFonts w:ascii="Arial" w:hAnsi="Arial" w:cs="Arial"/>
          <w:lang w:val="en-US"/>
        </w:rPr>
        <w:lastRenderedPageBreak/>
        <w:t xml:space="preserve">Overall, </w:t>
      </w:r>
      <w:r w:rsidR="005F177D">
        <w:rPr>
          <w:rFonts w:ascii="Arial" w:hAnsi="Arial" w:cs="Arial"/>
          <w:lang w:val="en-US"/>
        </w:rPr>
        <w:t>our</w:t>
      </w:r>
      <w:r w:rsidRPr="000A4111">
        <w:rPr>
          <w:rFonts w:ascii="Arial" w:hAnsi="Arial" w:cs="Arial"/>
          <w:lang w:val="en-US"/>
        </w:rPr>
        <w:t xml:space="preserve"> research vision is to improve therapeutic outcomes for PTCL patients by integrating disease biology</w:t>
      </w:r>
      <w:r w:rsidR="00F5128D">
        <w:rPr>
          <w:rFonts w:ascii="Arial" w:hAnsi="Arial" w:cs="Arial"/>
          <w:lang w:val="en-US"/>
        </w:rPr>
        <w:t xml:space="preserve"> knowledge</w:t>
      </w:r>
      <w:r w:rsidRPr="000A4111">
        <w:rPr>
          <w:rFonts w:ascii="Arial" w:hAnsi="Arial" w:cs="Arial"/>
          <w:lang w:val="en-US"/>
        </w:rPr>
        <w:t xml:space="preserve"> with functional precision oncology, using innovative patient-derived models to bridge the gap between bench and bedside.</w:t>
      </w:r>
    </w:p>
    <w:p w14:paraId="65D046DC" w14:textId="77777777" w:rsidR="00FD54BF" w:rsidRPr="00406026" w:rsidRDefault="00FD54BF">
      <w:pPr>
        <w:rPr>
          <w:rFonts w:ascii="Arial" w:hAnsi="Arial" w:cs="Arial"/>
          <w:lang w:val="en-US"/>
        </w:rPr>
      </w:pPr>
    </w:p>
    <w:p w14:paraId="2F42934F" w14:textId="546AB44E" w:rsidR="00FD54BF" w:rsidRPr="00406026" w:rsidRDefault="009F211E">
      <w:pPr>
        <w:rPr>
          <w:rFonts w:ascii="Arial" w:hAnsi="Arial" w:cs="Arial"/>
          <w:lang w:val="en-US"/>
        </w:rPr>
      </w:pPr>
      <w:r w:rsidRPr="00406026">
        <w:rPr>
          <w:rFonts w:ascii="Arial" w:hAnsi="Arial" w:cs="Arial"/>
          <w:b/>
          <w:bCs/>
          <w:lang w:val="en-US"/>
        </w:rPr>
        <w:t>PUBLICATIONS</w:t>
      </w:r>
      <w:r w:rsidR="00FD54BF" w:rsidRPr="00406026">
        <w:rPr>
          <w:rFonts w:ascii="Arial" w:hAnsi="Arial" w:cs="Arial"/>
          <w:lang w:val="en-US"/>
        </w:rPr>
        <w:t xml:space="preserve"> (</w:t>
      </w:r>
      <w:r w:rsidR="00625F4D">
        <w:rPr>
          <w:rFonts w:ascii="Arial" w:hAnsi="Arial" w:cs="Arial"/>
          <w:lang w:val="en-US"/>
        </w:rPr>
        <w:t>only</w:t>
      </w:r>
      <w:r w:rsidR="00FD54BF" w:rsidRPr="00406026">
        <w:rPr>
          <w:rFonts w:ascii="Arial" w:hAnsi="Arial" w:cs="Arial"/>
          <w:lang w:val="en-US"/>
        </w:rPr>
        <w:t xml:space="preserve"> 5</w:t>
      </w:r>
      <w:r w:rsidR="00625F4D">
        <w:rPr>
          <w:rFonts w:ascii="Arial" w:hAnsi="Arial" w:cs="Arial"/>
          <w:lang w:val="en-US"/>
        </w:rPr>
        <w:t xml:space="preserve"> in the</w:t>
      </w:r>
      <w:r w:rsidR="00FD54BF" w:rsidRPr="00406026">
        <w:rPr>
          <w:rFonts w:ascii="Arial" w:hAnsi="Arial" w:cs="Arial"/>
          <w:lang w:val="en-US"/>
        </w:rPr>
        <w:t xml:space="preserve"> </w:t>
      </w:r>
      <w:r w:rsidRPr="00406026">
        <w:rPr>
          <w:rFonts w:ascii="Arial" w:hAnsi="Arial" w:cs="Arial"/>
          <w:lang w:val="en-US"/>
        </w:rPr>
        <w:t>last 5 years</w:t>
      </w:r>
      <w:r w:rsidR="00FD54BF" w:rsidRPr="00406026">
        <w:rPr>
          <w:rFonts w:ascii="Arial" w:hAnsi="Arial" w:cs="Arial"/>
          <w:lang w:val="en-US"/>
        </w:rPr>
        <w:t>)</w:t>
      </w:r>
      <w:r w:rsidR="005E3DA9" w:rsidRPr="00406026">
        <w:rPr>
          <w:rFonts w:ascii="Arial" w:hAnsi="Arial" w:cs="Arial"/>
          <w:lang w:val="en-US"/>
        </w:rPr>
        <w:t xml:space="preserve"> </w:t>
      </w:r>
    </w:p>
    <w:p w14:paraId="20735D55" w14:textId="1C94082D" w:rsidR="00FD54BF" w:rsidRPr="00A80A68" w:rsidRDefault="0010306A" w:rsidP="005F177D">
      <w:pPr>
        <w:pBdr>
          <w:top w:val="single" w:sz="4" w:space="1" w:color="auto"/>
          <w:left w:val="single" w:sz="4" w:space="4" w:color="auto"/>
          <w:bottom w:val="single" w:sz="4" w:space="1" w:color="auto"/>
          <w:right w:val="single" w:sz="4" w:space="4" w:color="auto"/>
        </w:pBdr>
        <w:jc w:val="both"/>
        <w:rPr>
          <w:rFonts w:ascii="Arial" w:hAnsi="Arial" w:cs="Arial"/>
          <w:lang w:val="en-US"/>
        </w:rPr>
      </w:pPr>
      <w:r w:rsidRPr="0010306A">
        <w:rPr>
          <w:rFonts w:ascii="Arial" w:hAnsi="Arial" w:cs="Arial"/>
          <w:lang w:val="en-US"/>
        </w:rPr>
        <w:t xml:space="preserve">Pignataro C, Zoppoli P, Cappelli LV, Yoffe L, Moretti M, Izzo M, Mallia S, Kayembe C, Taylor A, Petrillo G, Affinito A, Quintavalle C, De Luca G, Mascolo M, Verde S, Fraticelli A, Ciarrocchi A, Salerno P, De Smaele E, Campese AF, Fragliasso V, Foà R, Merla G, Inghirami GG, Condorelli G, Fiore D. BH3 mimetic drugs overcome the microenvironment-induced resistance to crizotinib in ALK+ anaplastic large cell lymphoma. Blood Adv. 2025 Jul </w:t>
      </w:r>
      <w:proofErr w:type="gramStart"/>
      <w:r w:rsidRPr="0010306A">
        <w:rPr>
          <w:rFonts w:ascii="Arial" w:hAnsi="Arial" w:cs="Arial"/>
          <w:lang w:val="en-US"/>
        </w:rPr>
        <w:t>2:bloodadvances</w:t>
      </w:r>
      <w:proofErr w:type="gramEnd"/>
      <w:r w:rsidRPr="0010306A">
        <w:rPr>
          <w:rFonts w:ascii="Arial" w:hAnsi="Arial" w:cs="Arial"/>
          <w:lang w:val="en-US"/>
        </w:rPr>
        <w:t xml:space="preserve">.2024015322. </w:t>
      </w:r>
      <w:proofErr w:type="spellStart"/>
      <w:r w:rsidRPr="0010306A">
        <w:rPr>
          <w:rFonts w:ascii="Arial" w:hAnsi="Arial" w:cs="Arial"/>
          <w:lang w:val="en-US"/>
        </w:rPr>
        <w:t>doi</w:t>
      </w:r>
      <w:proofErr w:type="spellEnd"/>
      <w:r w:rsidRPr="0010306A">
        <w:rPr>
          <w:rFonts w:ascii="Arial" w:hAnsi="Arial" w:cs="Arial"/>
          <w:lang w:val="en-US"/>
        </w:rPr>
        <w:t xml:space="preserve">: 10.1182/bloodadvances.2024015322. </w:t>
      </w:r>
    </w:p>
    <w:p w14:paraId="013A0B3C" w14:textId="77777777" w:rsidR="0010306A" w:rsidRPr="00A80A68" w:rsidRDefault="0010306A" w:rsidP="005F177D">
      <w:pPr>
        <w:pBdr>
          <w:top w:val="single" w:sz="4" w:space="1" w:color="auto"/>
          <w:left w:val="single" w:sz="4" w:space="4" w:color="auto"/>
          <w:bottom w:val="single" w:sz="4" w:space="1" w:color="auto"/>
          <w:right w:val="single" w:sz="4" w:space="4" w:color="auto"/>
        </w:pBdr>
        <w:jc w:val="both"/>
        <w:rPr>
          <w:rFonts w:ascii="Arial" w:hAnsi="Arial" w:cs="Arial"/>
          <w:lang w:val="en-US"/>
        </w:rPr>
      </w:pPr>
    </w:p>
    <w:p w14:paraId="31C7A9E5" w14:textId="760A7924" w:rsidR="0010306A" w:rsidRPr="00A80A68" w:rsidRDefault="0010306A" w:rsidP="005F177D">
      <w:pPr>
        <w:pBdr>
          <w:top w:val="single" w:sz="4" w:space="1" w:color="auto"/>
          <w:left w:val="single" w:sz="4" w:space="4" w:color="auto"/>
          <w:bottom w:val="single" w:sz="4" w:space="1" w:color="auto"/>
          <w:right w:val="single" w:sz="4" w:space="4" w:color="auto"/>
        </w:pBdr>
        <w:jc w:val="both"/>
        <w:rPr>
          <w:rFonts w:ascii="Arial" w:hAnsi="Arial" w:cs="Arial"/>
          <w:lang w:val="en-US"/>
        </w:rPr>
      </w:pPr>
      <w:r w:rsidRPr="00A80A68">
        <w:rPr>
          <w:rFonts w:ascii="Arial" w:hAnsi="Arial" w:cs="Arial"/>
          <w:lang w:val="en-US"/>
        </w:rPr>
        <w:t xml:space="preserve">Bouska A, Zhang W, Sharma S, Holte H, Shah RA, Lone WG, Soma MA, Yang R, Liu X, Mehmood S, Chawla RS, Cappelli LV, Fiore D, Gong Q, </w:t>
      </w:r>
      <w:proofErr w:type="spellStart"/>
      <w:r w:rsidRPr="00A80A68">
        <w:rPr>
          <w:rFonts w:ascii="Arial" w:hAnsi="Arial" w:cs="Arial"/>
          <w:lang w:val="en-US"/>
        </w:rPr>
        <w:t>Heavican</w:t>
      </w:r>
      <w:proofErr w:type="spellEnd"/>
      <w:r w:rsidRPr="00A80A68">
        <w:rPr>
          <w:rFonts w:ascii="Arial" w:hAnsi="Arial" w:cs="Arial"/>
          <w:lang w:val="en-US"/>
        </w:rPr>
        <w:t xml:space="preserve">-Foral TB, Cannatella JJ, Amador C, Arif A, Smith LM, Lim ST, Ong CK, Feldman AL, Du MQ, Perry AM, de </w:t>
      </w:r>
      <w:proofErr w:type="spellStart"/>
      <w:r w:rsidRPr="00A80A68">
        <w:rPr>
          <w:rFonts w:ascii="Arial" w:hAnsi="Arial" w:cs="Arial"/>
          <w:lang w:val="en-US"/>
        </w:rPr>
        <w:t>Leval</w:t>
      </w:r>
      <w:proofErr w:type="spellEnd"/>
      <w:r w:rsidRPr="00A80A68">
        <w:rPr>
          <w:rFonts w:ascii="Arial" w:hAnsi="Arial" w:cs="Arial"/>
          <w:lang w:val="en-US"/>
        </w:rPr>
        <w:t xml:space="preserve"> L, Greiner TC, Fu K, Trøen G, </w:t>
      </w:r>
      <w:proofErr w:type="spellStart"/>
      <w:r w:rsidRPr="00A80A68">
        <w:rPr>
          <w:rFonts w:ascii="Arial" w:hAnsi="Arial" w:cs="Arial"/>
          <w:lang w:val="en-US"/>
        </w:rPr>
        <w:t>Vodák</w:t>
      </w:r>
      <w:proofErr w:type="spellEnd"/>
      <w:r w:rsidRPr="00A80A68">
        <w:rPr>
          <w:rFonts w:ascii="Arial" w:hAnsi="Arial" w:cs="Arial"/>
          <w:lang w:val="en-US"/>
        </w:rPr>
        <w:t xml:space="preserve"> D, Nakken S, </w:t>
      </w:r>
      <w:proofErr w:type="spellStart"/>
      <w:r w:rsidRPr="00A80A68">
        <w:rPr>
          <w:rFonts w:ascii="Arial" w:hAnsi="Arial" w:cs="Arial"/>
          <w:lang w:val="en-US"/>
        </w:rPr>
        <w:t>Delabie</w:t>
      </w:r>
      <w:proofErr w:type="spellEnd"/>
      <w:r w:rsidRPr="00A80A68">
        <w:rPr>
          <w:rFonts w:ascii="Arial" w:hAnsi="Arial" w:cs="Arial"/>
          <w:lang w:val="en-US"/>
        </w:rPr>
        <w:t xml:space="preserve"> J, Weinstock D, </w:t>
      </w:r>
      <w:proofErr w:type="spellStart"/>
      <w:r w:rsidRPr="00A80A68">
        <w:rPr>
          <w:rFonts w:ascii="Arial" w:hAnsi="Arial" w:cs="Arial"/>
          <w:lang w:val="en-US"/>
        </w:rPr>
        <w:t>Pileri</w:t>
      </w:r>
      <w:proofErr w:type="spellEnd"/>
      <w:r w:rsidRPr="00A80A68">
        <w:rPr>
          <w:rFonts w:ascii="Arial" w:hAnsi="Arial" w:cs="Arial"/>
          <w:lang w:val="en-US"/>
        </w:rPr>
        <w:t xml:space="preserve"> S, </w:t>
      </w:r>
      <w:proofErr w:type="spellStart"/>
      <w:r w:rsidRPr="00A80A68">
        <w:rPr>
          <w:rFonts w:ascii="Arial" w:hAnsi="Arial" w:cs="Arial"/>
          <w:lang w:val="en-US"/>
        </w:rPr>
        <w:t>Laginestra</w:t>
      </w:r>
      <w:proofErr w:type="spellEnd"/>
      <w:r w:rsidRPr="00A80A68">
        <w:rPr>
          <w:rFonts w:ascii="Arial" w:hAnsi="Arial" w:cs="Arial"/>
          <w:lang w:val="en-US"/>
        </w:rPr>
        <w:t xml:space="preserve"> A, Kim K, </w:t>
      </w:r>
      <w:proofErr w:type="spellStart"/>
      <w:r w:rsidRPr="00A80A68">
        <w:rPr>
          <w:rFonts w:ascii="Arial" w:hAnsi="Arial" w:cs="Arial"/>
          <w:lang w:val="en-US"/>
        </w:rPr>
        <w:t>Pajvani</w:t>
      </w:r>
      <w:proofErr w:type="spellEnd"/>
      <w:r w:rsidRPr="00A80A68">
        <w:rPr>
          <w:rFonts w:ascii="Arial" w:hAnsi="Arial" w:cs="Arial"/>
          <w:lang w:val="en-US"/>
        </w:rPr>
        <w:t xml:space="preserve"> U, Vose JM, Weisenburger DD, Horwitz SM, Dave S, Khoury J, Inghirami G, Chan WC, Iqbal J. Integrative Genomic and Transcriptomic Analysis Reveals Targetable Vulnerabilities in Angioimmunoblastic T-Cell Lymphoma. </w:t>
      </w:r>
      <w:r w:rsidRPr="0010306A">
        <w:rPr>
          <w:rFonts w:ascii="Arial" w:hAnsi="Arial" w:cs="Arial"/>
          <w:lang w:val="en-US"/>
        </w:rPr>
        <w:t xml:space="preserve">Am J Hematol. 2025 Jun 13. </w:t>
      </w:r>
      <w:proofErr w:type="spellStart"/>
      <w:r w:rsidRPr="0010306A">
        <w:rPr>
          <w:rFonts w:ascii="Arial" w:hAnsi="Arial" w:cs="Arial"/>
          <w:lang w:val="en-US"/>
        </w:rPr>
        <w:t>doi</w:t>
      </w:r>
      <w:proofErr w:type="spellEnd"/>
      <w:r w:rsidRPr="0010306A">
        <w:rPr>
          <w:rFonts w:ascii="Arial" w:hAnsi="Arial" w:cs="Arial"/>
          <w:lang w:val="en-US"/>
        </w:rPr>
        <w:t>: 10.1002/</w:t>
      </w:r>
      <w:proofErr w:type="gramStart"/>
      <w:r w:rsidRPr="0010306A">
        <w:rPr>
          <w:rFonts w:ascii="Arial" w:hAnsi="Arial" w:cs="Arial"/>
          <w:lang w:val="en-US"/>
        </w:rPr>
        <w:t>ajh.27736.</w:t>
      </w:r>
      <w:r w:rsidRPr="00A80A68">
        <w:rPr>
          <w:rFonts w:ascii="Arial" w:hAnsi="Arial" w:cs="Arial"/>
          <w:lang w:val="en-US"/>
        </w:rPr>
        <w:t>.</w:t>
      </w:r>
      <w:proofErr w:type="gramEnd"/>
    </w:p>
    <w:p w14:paraId="0BD0637A" w14:textId="77777777" w:rsidR="0010306A" w:rsidRPr="00A80A68" w:rsidRDefault="0010306A" w:rsidP="005F177D">
      <w:pPr>
        <w:pBdr>
          <w:top w:val="single" w:sz="4" w:space="1" w:color="auto"/>
          <w:left w:val="single" w:sz="4" w:space="4" w:color="auto"/>
          <w:bottom w:val="single" w:sz="4" w:space="1" w:color="auto"/>
          <w:right w:val="single" w:sz="4" w:space="4" w:color="auto"/>
        </w:pBdr>
        <w:jc w:val="both"/>
        <w:rPr>
          <w:rFonts w:ascii="Arial" w:hAnsi="Arial" w:cs="Arial"/>
          <w:lang w:val="en-US"/>
        </w:rPr>
      </w:pPr>
    </w:p>
    <w:p w14:paraId="0A60996D" w14:textId="0AD64F45" w:rsidR="0010306A" w:rsidRDefault="0010306A" w:rsidP="005F177D">
      <w:pPr>
        <w:pBdr>
          <w:top w:val="single" w:sz="4" w:space="1" w:color="auto"/>
          <w:left w:val="single" w:sz="4" w:space="4" w:color="auto"/>
          <w:bottom w:val="single" w:sz="4" w:space="1" w:color="auto"/>
          <w:right w:val="single" w:sz="4" w:space="4" w:color="auto"/>
        </w:pBdr>
        <w:jc w:val="both"/>
        <w:rPr>
          <w:rFonts w:ascii="Arial" w:hAnsi="Arial" w:cs="Arial"/>
          <w:lang w:val="en-US"/>
        </w:rPr>
      </w:pPr>
      <w:r w:rsidRPr="00A80A68">
        <w:rPr>
          <w:rFonts w:ascii="Arial" w:hAnsi="Arial" w:cs="Arial"/>
          <w:lang w:val="en-US"/>
        </w:rPr>
        <w:t xml:space="preserve">Fiore D, Cappelli LV, </w:t>
      </w:r>
      <w:proofErr w:type="spellStart"/>
      <w:r w:rsidRPr="00A80A68">
        <w:rPr>
          <w:rFonts w:ascii="Arial" w:hAnsi="Arial" w:cs="Arial"/>
          <w:lang w:val="en-US"/>
        </w:rPr>
        <w:t>Zhaoqi</w:t>
      </w:r>
      <w:proofErr w:type="spellEnd"/>
      <w:r w:rsidRPr="00A80A68">
        <w:rPr>
          <w:rFonts w:ascii="Arial" w:hAnsi="Arial" w:cs="Arial"/>
          <w:lang w:val="en-US"/>
        </w:rPr>
        <w:t xml:space="preserve"> L, </w:t>
      </w:r>
      <w:proofErr w:type="spellStart"/>
      <w:r w:rsidRPr="00A80A68">
        <w:rPr>
          <w:rFonts w:ascii="Arial" w:hAnsi="Arial" w:cs="Arial"/>
          <w:lang w:val="en-US"/>
        </w:rPr>
        <w:t>Kotlov</w:t>
      </w:r>
      <w:proofErr w:type="spellEnd"/>
      <w:r w:rsidRPr="00A80A68">
        <w:rPr>
          <w:rFonts w:ascii="Arial" w:hAnsi="Arial" w:cs="Arial"/>
          <w:lang w:val="en-US"/>
        </w:rPr>
        <w:t xml:space="preserve"> N, Sorokina M, Phillip J, Zumbo P, Yoffe L, Ghione P, Wang A, Han X, Taylor A, Chiu W, </w:t>
      </w:r>
      <w:proofErr w:type="spellStart"/>
      <w:r w:rsidRPr="00A80A68">
        <w:rPr>
          <w:rFonts w:ascii="Arial" w:hAnsi="Arial" w:cs="Arial"/>
          <w:lang w:val="en-US"/>
        </w:rPr>
        <w:t>Fragliasso</w:t>
      </w:r>
      <w:proofErr w:type="spellEnd"/>
      <w:r w:rsidRPr="00A80A68">
        <w:rPr>
          <w:rFonts w:ascii="Arial" w:hAnsi="Arial" w:cs="Arial"/>
          <w:lang w:val="en-US"/>
        </w:rPr>
        <w:t xml:space="preserve"> V, </w:t>
      </w:r>
      <w:proofErr w:type="spellStart"/>
      <w:r w:rsidRPr="00A80A68">
        <w:rPr>
          <w:rFonts w:ascii="Arial" w:hAnsi="Arial" w:cs="Arial"/>
          <w:lang w:val="en-US"/>
        </w:rPr>
        <w:t>Tabbo</w:t>
      </w:r>
      <w:proofErr w:type="spellEnd"/>
      <w:r w:rsidRPr="00A80A68">
        <w:rPr>
          <w:rFonts w:ascii="Arial" w:hAnsi="Arial" w:cs="Arial"/>
          <w:lang w:val="en-US"/>
        </w:rPr>
        <w:t xml:space="preserve"> F, </w:t>
      </w:r>
      <w:proofErr w:type="spellStart"/>
      <w:r w:rsidRPr="00A80A68">
        <w:rPr>
          <w:rFonts w:ascii="Arial" w:hAnsi="Arial" w:cs="Arial"/>
          <w:lang w:val="en-US"/>
        </w:rPr>
        <w:t>Zamponi</w:t>
      </w:r>
      <w:proofErr w:type="spellEnd"/>
      <w:r w:rsidRPr="00A80A68">
        <w:rPr>
          <w:rFonts w:ascii="Arial" w:hAnsi="Arial" w:cs="Arial"/>
          <w:lang w:val="en-US"/>
        </w:rPr>
        <w:t xml:space="preserve"> N, Di Siervi N, Kayembe C, Medico G, Patel RP, Gaudiano M, </w:t>
      </w:r>
      <w:proofErr w:type="spellStart"/>
      <w:r w:rsidRPr="00A80A68">
        <w:rPr>
          <w:rFonts w:ascii="Arial" w:hAnsi="Arial" w:cs="Arial"/>
          <w:lang w:val="en-US"/>
        </w:rPr>
        <w:t>Machiorlatti</w:t>
      </w:r>
      <w:proofErr w:type="spellEnd"/>
      <w:r w:rsidRPr="00A80A68">
        <w:rPr>
          <w:rFonts w:ascii="Arial" w:hAnsi="Arial" w:cs="Arial"/>
          <w:lang w:val="en-US"/>
        </w:rPr>
        <w:t xml:space="preserve"> R, Astone G, Cacciapuoti MT, Zanetti G, Pignataro C, Eric RA, Patel S, </w:t>
      </w:r>
      <w:proofErr w:type="spellStart"/>
      <w:r w:rsidRPr="00A80A68">
        <w:rPr>
          <w:rFonts w:ascii="Arial" w:hAnsi="Arial" w:cs="Arial"/>
          <w:lang w:val="en-US"/>
        </w:rPr>
        <w:t>Zammarchi</w:t>
      </w:r>
      <w:proofErr w:type="spellEnd"/>
      <w:r w:rsidRPr="00A80A68">
        <w:rPr>
          <w:rFonts w:ascii="Arial" w:hAnsi="Arial" w:cs="Arial"/>
          <w:lang w:val="en-US"/>
        </w:rPr>
        <w:t xml:space="preserve"> F, Zanettini C, Queiroz L, Nikitina A, Kudryashova O, Karelin A, Nikitin D, </w:t>
      </w:r>
      <w:proofErr w:type="spellStart"/>
      <w:r w:rsidRPr="00A80A68">
        <w:rPr>
          <w:rFonts w:ascii="Arial" w:hAnsi="Arial" w:cs="Arial"/>
          <w:lang w:val="en-US"/>
        </w:rPr>
        <w:t>Tychinin</w:t>
      </w:r>
      <w:proofErr w:type="spellEnd"/>
      <w:r w:rsidRPr="00A80A68">
        <w:rPr>
          <w:rFonts w:ascii="Arial" w:hAnsi="Arial" w:cs="Arial"/>
          <w:lang w:val="en-US"/>
        </w:rPr>
        <w:t xml:space="preserve"> D, </w:t>
      </w:r>
      <w:proofErr w:type="spellStart"/>
      <w:r w:rsidRPr="00A80A68">
        <w:rPr>
          <w:rFonts w:ascii="Arial" w:hAnsi="Arial" w:cs="Arial"/>
          <w:lang w:val="en-US"/>
        </w:rPr>
        <w:t>Postovalova</w:t>
      </w:r>
      <w:proofErr w:type="spellEnd"/>
      <w:r w:rsidRPr="00A80A68">
        <w:rPr>
          <w:rFonts w:ascii="Arial" w:hAnsi="Arial" w:cs="Arial"/>
          <w:lang w:val="en-US"/>
        </w:rPr>
        <w:t xml:space="preserve"> E, </w:t>
      </w:r>
      <w:proofErr w:type="spellStart"/>
      <w:r w:rsidRPr="00A80A68">
        <w:rPr>
          <w:rFonts w:ascii="Arial" w:hAnsi="Arial" w:cs="Arial"/>
          <w:lang w:val="en-US"/>
        </w:rPr>
        <w:t>Bagaev</w:t>
      </w:r>
      <w:proofErr w:type="spellEnd"/>
      <w:r w:rsidRPr="00A80A68">
        <w:rPr>
          <w:rFonts w:ascii="Arial" w:hAnsi="Arial" w:cs="Arial"/>
          <w:lang w:val="en-US"/>
        </w:rPr>
        <w:t xml:space="preserve"> A, </w:t>
      </w:r>
      <w:proofErr w:type="spellStart"/>
      <w:r w:rsidRPr="00A80A68">
        <w:rPr>
          <w:rFonts w:ascii="Arial" w:hAnsi="Arial" w:cs="Arial"/>
          <w:lang w:val="en-US"/>
        </w:rPr>
        <w:t>Svekolkin</w:t>
      </w:r>
      <w:proofErr w:type="spellEnd"/>
      <w:r w:rsidRPr="00A80A68">
        <w:rPr>
          <w:rFonts w:ascii="Arial" w:hAnsi="Arial" w:cs="Arial"/>
          <w:lang w:val="en-US"/>
        </w:rPr>
        <w:t xml:space="preserve"> V, Belova E, Tikhonova K, Degryse S, Xu C, Novero D, </w:t>
      </w:r>
      <w:proofErr w:type="spellStart"/>
      <w:r w:rsidRPr="00A80A68">
        <w:rPr>
          <w:rFonts w:ascii="Arial" w:hAnsi="Arial" w:cs="Arial"/>
          <w:lang w:val="en-US"/>
        </w:rPr>
        <w:t>Ponzoni</w:t>
      </w:r>
      <w:proofErr w:type="spellEnd"/>
      <w:r w:rsidRPr="00A80A68">
        <w:rPr>
          <w:rFonts w:ascii="Arial" w:hAnsi="Arial" w:cs="Arial"/>
          <w:lang w:val="en-US"/>
        </w:rPr>
        <w:t xml:space="preserve"> M, </w:t>
      </w:r>
      <w:proofErr w:type="spellStart"/>
      <w:r w:rsidRPr="00A80A68">
        <w:rPr>
          <w:rFonts w:ascii="Arial" w:hAnsi="Arial" w:cs="Arial"/>
          <w:lang w:val="en-US"/>
        </w:rPr>
        <w:t>Tiacci</w:t>
      </w:r>
      <w:proofErr w:type="spellEnd"/>
      <w:r w:rsidRPr="00A80A68">
        <w:rPr>
          <w:rFonts w:ascii="Arial" w:hAnsi="Arial" w:cs="Arial"/>
          <w:lang w:val="en-US"/>
        </w:rPr>
        <w:t xml:space="preserve"> E, Falini B, Song J, </w:t>
      </w:r>
      <w:proofErr w:type="spellStart"/>
      <w:r w:rsidRPr="00A80A68">
        <w:rPr>
          <w:rFonts w:ascii="Arial" w:hAnsi="Arial" w:cs="Arial"/>
          <w:lang w:val="en-US"/>
        </w:rPr>
        <w:t>Khodos</w:t>
      </w:r>
      <w:proofErr w:type="spellEnd"/>
      <w:r w:rsidRPr="00A80A68">
        <w:rPr>
          <w:rFonts w:ascii="Arial" w:hAnsi="Arial" w:cs="Arial"/>
          <w:lang w:val="en-US"/>
        </w:rPr>
        <w:t xml:space="preserve"> I, De Stanchina E, Macari G, </w:t>
      </w:r>
      <w:proofErr w:type="spellStart"/>
      <w:r w:rsidRPr="00A80A68">
        <w:rPr>
          <w:rFonts w:ascii="Arial" w:hAnsi="Arial" w:cs="Arial"/>
          <w:lang w:val="en-US"/>
        </w:rPr>
        <w:t>Cafforio</w:t>
      </w:r>
      <w:proofErr w:type="spellEnd"/>
      <w:r w:rsidRPr="00A80A68">
        <w:rPr>
          <w:rFonts w:ascii="Arial" w:hAnsi="Arial" w:cs="Arial"/>
          <w:lang w:val="en-US"/>
        </w:rPr>
        <w:t xml:space="preserve"> L, Gardini S, Piva R, Medico E, Ng SY, Moskowitz A, Epstein Z, </w:t>
      </w:r>
      <w:proofErr w:type="spellStart"/>
      <w:r w:rsidRPr="00A80A68">
        <w:rPr>
          <w:rFonts w:ascii="Arial" w:hAnsi="Arial" w:cs="Arial"/>
          <w:lang w:val="en-US"/>
        </w:rPr>
        <w:t>Intlekofer</w:t>
      </w:r>
      <w:proofErr w:type="spellEnd"/>
      <w:r w:rsidRPr="00A80A68">
        <w:rPr>
          <w:rFonts w:ascii="Arial" w:hAnsi="Arial" w:cs="Arial"/>
          <w:lang w:val="en-US"/>
        </w:rPr>
        <w:t xml:space="preserve"> A, Ahmed D, Chan WC, Martin P, Ruan J, Bertoni F, Foà R, Brody JD, Weinstock DM, Osan J, </w:t>
      </w:r>
      <w:proofErr w:type="spellStart"/>
      <w:r w:rsidRPr="00A80A68">
        <w:rPr>
          <w:rFonts w:ascii="Arial" w:hAnsi="Arial" w:cs="Arial"/>
          <w:lang w:val="en-US"/>
        </w:rPr>
        <w:t>Santambrogio</w:t>
      </w:r>
      <w:proofErr w:type="spellEnd"/>
      <w:r w:rsidRPr="00A80A68">
        <w:rPr>
          <w:rFonts w:ascii="Arial" w:hAnsi="Arial" w:cs="Arial"/>
          <w:lang w:val="en-US"/>
        </w:rPr>
        <w:t xml:space="preserve"> L, </w:t>
      </w:r>
      <w:proofErr w:type="spellStart"/>
      <w:r w:rsidRPr="00A80A68">
        <w:rPr>
          <w:rFonts w:ascii="Arial" w:hAnsi="Arial" w:cs="Arial"/>
          <w:lang w:val="en-US"/>
        </w:rPr>
        <w:t>Elemento</w:t>
      </w:r>
      <w:proofErr w:type="spellEnd"/>
      <w:r w:rsidRPr="00A80A68">
        <w:rPr>
          <w:rFonts w:ascii="Arial" w:hAnsi="Arial" w:cs="Arial"/>
          <w:lang w:val="en-US"/>
        </w:rPr>
        <w:t xml:space="preserve"> O, Betel D, Tam W, Ruella M, Cerchietti L, Rabadan R, Horwitz S, Inghirami G. A patient-derived T cell lymphoma biorepository uncovers pathogenetic mechanisms and host-related therapeutic vulnerabilities. </w:t>
      </w:r>
      <w:r w:rsidRPr="0010306A">
        <w:rPr>
          <w:rFonts w:ascii="Arial" w:hAnsi="Arial" w:cs="Arial"/>
          <w:lang w:val="en-US"/>
        </w:rPr>
        <w:t xml:space="preserve">Cell Rep Med. 2025 Apr 15;6(4):102029. </w:t>
      </w:r>
      <w:proofErr w:type="spellStart"/>
      <w:r w:rsidRPr="0010306A">
        <w:rPr>
          <w:rFonts w:ascii="Arial" w:hAnsi="Arial" w:cs="Arial"/>
          <w:lang w:val="en-US"/>
        </w:rPr>
        <w:t>doi</w:t>
      </w:r>
      <w:proofErr w:type="spellEnd"/>
      <w:r w:rsidRPr="0010306A">
        <w:rPr>
          <w:rFonts w:ascii="Arial" w:hAnsi="Arial" w:cs="Arial"/>
          <w:lang w:val="en-US"/>
        </w:rPr>
        <w:t xml:space="preserve">: 10.1016/j.xcrm.2025.102029. </w:t>
      </w:r>
    </w:p>
    <w:p w14:paraId="227F13D3" w14:textId="77777777" w:rsidR="0010306A" w:rsidRDefault="0010306A" w:rsidP="005F177D">
      <w:pPr>
        <w:pBdr>
          <w:top w:val="single" w:sz="4" w:space="1" w:color="auto"/>
          <w:left w:val="single" w:sz="4" w:space="4" w:color="auto"/>
          <w:bottom w:val="single" w:sz="4" w:space="1" w:color="auto"/>
          <w:right w:val="single" w:sz="4" w:space="4" w:color="auto"/>
        </w:pBdr>
        <w:jc w:val="both"/>
        <w:rPr>
          <w:rFonts w:ascii="Arial" w:hAnsi="Arial" w:cs="Arial"/>
          <w:lang w:val="en-US"/>
        </w:rPr>
      </w:pPr>
    </w:p>
    <w:p w14:paraId="2685863A" w14:textId="5AABC0D6" w:rsidR="0010306A" w:rsidRPr="00A80A68" w:rsidRDefault="0010306A" w:rsidP="005F177D">
      <w:pPr>
        <w:pBdr>
          <w:top w:val="single" w:sz="4" w:space="1" w:color="auto"/>
          <w:left w:val="single" w:sz="4" w:space="4" w:color="auto"/>
          <w:bottom w:val="single" w:sz="4" w:space="1" w:color="auto"/>
          <w:right w:val="single" w:sz="4" w:space="4" w:color="auto"/>
        </w:pBdr>
        <w:jc w:val="both"/>
        <w:rPr>
          <w:rFonts w:ascii="Arial" w:hAnsi="Arial" w:cs="Arial"/>
          <w:lang w:val="en-US"/>
        </w:rPr>
      </w:pPr>
      <w:r w:rsidRPr="0010306A">
        <w:rPr>
          <w:rFonts w:ascii="Arial" w:hAnsi="Arial" w:cs="Arial"/>
          <w:lang w:val="en-US"/>
        </w:rPr>
        <w:t xml:space="preserve">Cappelli LV, Fiore D, Phillip JM, Yoffe L, Di Giacomo F, Chiu W, Hu Y, Kayembe C, Ginsberg M, Consolino L, Barcia Duran JG, Zamponi N, Melnick AM, </w:t>
      </w:r>
      <w:proofErr w:type="spellStart"/>
      <w:r w:rsidRPr="0010306A">
        <w:rPr>
          <w:rFonts w:ascii="Arial" w:hAnsi="Arial" w:cs="Arial"/>
          <w:lang w:val="en-US"/>
        </w:rPr>
        <w:t>Boccalatte</w:t>
      </w:r>
      <w:proofErr w:type="spellEnd"/>
      <w:r w:rsidRPr="0010306A">
        <w:rPr>
          <w:rFonts w:ascii="Arial" w:hAnsi="Arial" w:cs="Arial"/>
          <w:lang w:val="en-US"/>
        </w:rPr>
        <w:t xml:space="preserve"> F, Tam W, </w:t>
      </w:r>
      <w:proofErr w:type="spellStart"/>
      <w:r w:rsidRPr="0010306A">
        <w:rPr>
          <w:rFonts w:ascii="Arial" w:hAnsi="Arial" w:cs="Arial"/>
          <w:lang w:val="en-US"/>
        </w:rPr>
        <w:t>Elemento</w:t>
      </w:r>
      <w:proofErr w:type="spellEnd"/>
      <w:r w:rsidRPr="0010306A">
        <w:rPr>
          <w:rFonts w:ascii="Arial" w:hAnsi="Arial" w:cs="Arial"/>
          <w:lang w:val="en-US"/>
        </w:rPr>
        <w:t xml:space="preserve"> O, </w:t>
      </w:r>
      <w:proofErr w:type="spellStart"/>
      <w:r w:rsidRPr="0010306A">
        <w:rPr>
          <w:rFonts w:ascii="Arial" w:hAnsi="Arial" w:cs="Arial"/>
          <w:lang w:val="en-US"/>
        </w:rPr>
        <w:t>Chiaretti</w:t>
      </w:r>
      <w:proofErr w:type="spellEnd"/>
      <w:r w:rsidRPr="0010306A">
        <w:rPr>
          <w:rFonts w:ascii="Arial" w:hAnsi="Arial" w:cs="Arial"/>
          <w:lang w:val="en-US"/>
        </w:rPr>
        <w:t xml:space="preserve"> S, Guarini A, Foà R, Cerchietti L, Rafii S, Inghirami G. Endothelial cell-leukemia interactions remodel drug responses, uncovering T-ALL vulnerabilities. </w:t>
      </w:r>
      <w:r w:rsidRPr="00A80A68">
        <w:rPr>
          <w:rFonts w:ascii="Arial" w:hAnsi="Arial" w:cs="Arial"/>
          <w:lang w:val="en-US"/>
        </w:rPr>
        <w:t xml:space="preserve">Blood. 2023 Feb 2;141(5):503-518. </w:t>
      </w:r>
      <w:proofErr w:type="spellStart"/>
      <w:r w:rsidRPr="00A80A68">
        <w:rPr>
          <w:rFonts w:ascii="Arial" w:hAnsi="Arial" w:cs="Arial"/>
          <w:lang w:val="en-US"/>
        </w:rPr>
        <w:t>doi</w:t>
      </w:r>
      <w:proofErr w:type="spellEnd"/>
      <w:r w:rsidRPr="00A80A68">
        <w:rPr>
          <w:rFonts w:ascii="Arial" w:hAnsi="Arial" w:cs="Arial"/>
          <w:lang w:val="en-US"/>
        </w:rPr>
        <w:t xml:space="preserve">: 10.1182/blood.2022015414. </w:t>
      </w:r>
    </w:p>
    <w:p w14:paraId="7484E6F5" w14:textId="77777777" w:rsidR="0010306A" w:rsidRPr="00A80A68" w:rsidRDefault="0010306A" w:rsidP="005F177D">
      <w:pPr>
        <w:pBdr>
          <w:top w:val="single" w:sz="4" w:space="1" w:color="auto"/>
          <w:left w:val="single" w:sz="4" w:space="4" w:color="auto"/>
          <w:bottom w:val="single" w:sz="4" w:space="1" w:color="auto"/>
          <w:right w:val="single" w:sz="4" w:space="4" w:color="auto"/>
        </w:pBdr>
        <w:jc w:val="both"/>
        <w:rPr>
          <w:rFonts w:ascii="Arial" w:hAnsi="Arial" w:cs="Arial"/>
          <w:lang w:val="en-US"/>
        </w:rPr>
      </w:pPr>
    </w:p>
    <w:p w14:paraId="2D344006" w14:textId="0A11C97B" w:rsidR="00491BA9" w:rsidRDefault="00950F09" w:rsidP="005F177D">
      <w:pPr>
        <w:pBdr>
          <w:top w:val="single" w:sz="4" w:space="1" w:color="auto"/>
          <w:left w:val="single" w:sz="4" w:space="4" w:color="auto"/>
          <w:bottom w:val="single" w:sz="4" w:space="1" w:color="auto"/>
          <w:right w:val="single" w:sz="4" w:space="4" w:color="auto"/>
        </w:pBdr>
        <w:jc w:val="both"/>
        <w:rPr>
          <w:rFonts w:ascii="Arial" w:hAnsi="Arial" w:cs="Arial"/>
          <w:lang w:val="en-US"/>
        </w:rPr>
      </w:pPr>
      <w:r w:rsidRPr="00A80A68">
        <w:rPr>
          <w:rFonts w:ascii="Arial" w:hAnsi="Arial" w:cs="Arial"/>
          <w:lang w:val="en-US"/>
        </w:rPr>
        <w:t xml:space="preserve">Cacciapuoti MT, Cappelli LV, Fiore D, Toruno P, Kayembe C, Tam W, Inghirami G. In Vivo and Ex Vivo Patient-Derived Tumor Xenograft Models of Lymphoma for Drug Discovery. Curr </w:t>
      </w:r>
      <w:proofErr w:type="spellStart"/>
      <w:r w:rsidRPr="00A80A68">
        <w:rPr>
          <w:rFonts w:ascii="Arial" w:hAnsi="Arial" w:cs="Arial"/>
          <w:lang w:val="en-US"/>
        </w:rPr>
        <w:t>Protoc</w:t>
      </w:r>
      <w:proofErr w:type="spellEnd"/>
      <w:r w:rsidRPr="00A80A68">
        <w:rPr>
          <w:rFonts w:ascii="Arial" w:hAnsi="Arial" w:cs="Arial"/>
          <w:lang w:val="en-US"/>
        </w:rPr>
        <w:t>. 2021 Apr;1(4</w:t>
      </w:r>
      <w:proofErr w:type="gramStart"/>
      <w:r w:rsidRPr="00A80A68">
        <w:rPr>
          <w:rFonts w:ascii="Arial" w:hAnsi="Arial" w:cs="Arial"/>
          <w:lang w:val="en-US"/>
        </w:rPr>
        <w:t>):e</w:t>
      </w:r>
      <w:proofErr w:type="gramEnd"/>
      <w:r w:rsidRPr="00A80A68">
        <w:rPr>
          <w:rFonts w:ascii="Arial" w:hAnsi="Arial" w:cs="Arial"/>
          <w:lang w:val="en-US"/>
        </w:rPr>
        <w:t xml:space="preserve">96. </w:t>
      </w:r>
      <w:proofErr w:type="spellStart"/>
      <w:r w:rsidRPr="00A80A68">
        <w:rPr>
          <w:rFonts w:ascii="Arial" w:hAnsi="Arial" w:cs="Arial"/>
          <w:lang w:val="en-US"/>
        </w:rPr>
        <w:t>doi</w:t>
      </w:r>
      <w:proofErr w:type="spellEnd"/>
      <w:r w:rsidRPr="00A80A68">
        <w:rPr>
          <w:rFonts w:ascii="Arial" w:hAnsi="Arial" w:cs="Arial"/>
          <w:lang w:val="en-US"/>
        </w:rPr>
        <w:t>: 10.1002/cpz</w:t>
      </w:r>
      <w:proofErr w:type="gramStart"/>
      <w:r w:rsidRPr="00A80A68">
        <w:rPr>
          <w:rFonts w:ascii="Arial" w:hAnsi="Arial" w:cs="Arial"/>
          <w:lang w:val="en-US"/>
        </w:rPr>
        <w:t>1.96..</w:t>
      </w:r>
      <w:proofErr w:type="gramEnd"/>
    </w:p>
    <w:p w14:paraId="7F7D423C" w14:textId="77777777" w:rsidR="00491BA9" w:rsidRPr="00406026" w:rsidRDefault="00491BA9" w:rsidP="005F177D">
      <w:pPr>
        <w:pBdr>
          <w:top w:val="single" w:sz="4" w:space="1" w:color="auto"/>
          <w:left w:val="single" w:sz="4" w:space="4" w:color="auto"/>
          <w:bottom w:val="single" w:sz="4" w:space="1" w:color="auto"/>
          <w:right w:val="single" w:sz="4" w:space="4" w:color="auto"/>
        </w:pBdr>
        <w:jc w:val="both"/>
        <w:rPr>
          <w:rFonts w:ascii="Arial" w:hAnsi="Arial" w:cs="Arial"/>
          <w:lang w:val="en-US"/>
        </w:rPr>
      </w:pPr>
    </w:p>
    <w:p w14:paraId="6730BE66" w14:textId="77777777" w:rsidR="00FD54BF" w:rsidRPr="00406026" w:rsidRDefault="00FD54BF" w:rsidP="005F177D">
      <w:pPr>
        <w:jc w:val="both"/>
        <w:rPr>
          <w:rFonts w:ascii="Arial" w:hAnsi="Arial" w:cs="Arial"/>
          <w:lang w:val="en-US"/>
        </w:rPr>
      </w:pPr>
    </w:p>
    <w:p w14:paraId="123A8834" w14:textId="676B3133" w:rsidR="00FD54BF" w:rsidRPr="00406026" w:rsidRDefault="009F211E" w:rsidP="005F177D">
      <w:pPr>
        <w:jc w:val="both"/>
        <w:rPr>
          <w:rFonts w:ascii="Arial" w:hAnsi="Arial" w:cs="Arial"/>
          <w:lang w:val="en-US"/>
        </w:rPr>
      </w:pPr>
      <w:r w:rsidRPr="00406026">
        <w:rPr>
          <w:rFonts w:ascii="Arial" w:hAnsi="Arial" w:cs="Arial"/>
          <w:b/>
          <w:bCs/>
          <w:lang w:val="en-US"/>
        </w:rPr>
        <w:t>FUNDING</w:t>
      </w:r>
      <w:r w:rsidRPr="00406026">
        <w:rPr>
          <w:rFonts w:ascii="Arial" w:hAnsi="Arial" w:cs="Arial"/>
          <w:lang w:val="en-US"/>
        </w:rPr>
        <w:t xml:space="preserve"> </w:t>
      </w:r>
    </w:p>
    <w:p w14:paraId="4916F18C" w14:textId="300B78EF" w:rsidR="00FD54BF" w:rsidRPr="00406026" w:rsidRDefault="00625F4D" w:rsidP="0011550F">
      <w:pPr>
        <w:pBdr>
          <w:top w:val="single" w:sz="4" w:space="1" w:color="auto"/>
          <w:left w:val="single" w:sz="4" w:space="4" w:color="auto"/>
          <w:bottom w:val="single" w:sz="4" w:space="1" w:color="auto"/>
          <w:right w:val="single" w:sz="4" w:space="4" w:color="auto"/>
        </w:pBdr>
        <w:jc w:val="both"/>
        <w:rPr>
          <w:rFonts w:ascii="Arial" w:hAnsi="Arial" w:cs="Arial"/>
          <w:lang w:val="en-US"/>
        </w:rPr>
      </w:pPr>
      <w:r>
        <w:rPr>
          <w:rFonts w:ascii="Arial" w:hAnsi="Arial" w:cs="Arial"/>
          <w:lang w:val="en-US"/>
        </w:rPr>
        <w:t xml:space="preserve">None currently active </w:t>
      </w:r>
    </w:p>
    <w:sectPr w:rsidR="00FD54BF" w:rsidRPr="00406026" w:rsidSect="0000583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4BF"/>
    <w:rsid w:val="00005835"/>
    <w:rsid w:val="000508FF"/>
    <w:rsid w:val="00053C76"/>
    <w:rsid w:val="00077159"/>
    <w:rsid w:val="000A4111"/>
    <w:rsid w:val="000F4D79"/>
    <w:rsid w:val="0010306A"/>
    <w:rsid w:val="0011550F"/>
    <w:rsid w:val="00131DC0"/>
    <w:rsid w:val="001610A0"/>
    <w:rsid w:val="00280111"/>
    <w:rsid w:val="003428DA"/>
    <w:rsid w:val="00360702"/>
    <w:rsid w:val="003D2C2C"/>
    <w:rsid w:val="00406026"/>
    <w:rsid w:val="004076E2"/>
    <w:rsid w:val="00473F2E"/>
    <w:rsid w:val="00491BA9"/>
    <w:rsid w:val="004A0B63"/>
    <w:rsid w:val="004C4694"/>
    <w:rsid w:val="005310A5"/>
    <w:rsid w:val="005E3DA9"/>
    <w:rsid w:val="005F177D"/>
    <w:rsid w:val="00625F4D"/>
    <w:rsid w:val="00642B51"/>
    <w:rsid w:val="007134F4"/>
    <w:rsid w:val="007476DF"/>
    <w:rsid w:val="007F449C"/>
    <w:rsid w:val="0087758B"/>
    <w:rsid w:val="00880BA1"/>
    <w:rsid w:val="00880D74"/>
    <w:rsid w:val="008830F8"/>
    <w:rsid w:val="008A7906"/>
    <w:rsid w:val="00950F09"/>
    <w:rsid w:val="009879E9"/>
    <w:rsid w:val="009F211E"/>
    <w:rsid w:val="00A20A61"/>
    <w:rsid w:val="00A80A68"/>
    <w:rsid w:val="00B20807"/>
    <w:rsid w:val="00B20A2C"/>
    <w:rsid w:val="00BA57B7"/>
    <w:rsid w:val="00C12D2B"/>
    <w:rsid w:val="00CC1DF3"/>
    <w:rsid w:val="00CF1EEC"/>
    <w:rsid w:val="00DE3367"/>
    <w:rsid w:val="00E174D9"/>
    <w:rsid w:val="00E72092"/>
    <w:rsid w:val="00EA525D"/>
    <w:rsid w:val="00F5128D"/>
    <w:rsid w:val="00F64CE6"/>
    <w:rsid w:val="00F80574"/>
    <w:rsid w:val="00F877D5"/>
    <w:rsid w:val="00FC48D6"/>
    <w:rsid w:val="00FD54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DE7FB"/>
  <w15:chartTrackingRefBased/>
  <w15:docId w15:val="{F87D8A5B-5CA8-F141-A74C-31D3C49C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D54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D54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D54B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D54B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D54B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D54B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D54B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D54B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D54B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D54B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D54B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D54B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D54B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D54B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D54B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D54B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D54B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D54BF"/>
    <w:rPr>
      <w:rFonts w:eastAsiaTheme="majorEastAsia" w:cstheme="majorBidi"/>
      <w:color w:val="272727" w:themeColor="text1" w:themeTint="D8"/>
    </w:rPr>
  </w:style>
  <w:style w:type="paragraph" w:styleId="Titolo">
    <w:name w:val="Title"/>
    <w:basedOn w:val="Normale"/>
    <w:next w:val="Normale"/>
    <w:link w:val="TitoloCarattere"/>
    <w:uiPriority w:val="10"/>
    <w:qFormat/>
    <w:rsid w:val="00FD54B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D54B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D54B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D54B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D54B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D54BF"/>
    <w:rPr>
      <w:i/>
      <w:iCs/>
      <w:color w:val="404040" w:themeColor="text1" w:themeTint="BF"/>
    </w:rPr>
  </w:style>
  <w:style w:type="paragraph" w:styleId="Paragrafoelenco">
    <w:name w:val="List Paragraph"/>
    <w:basedOn w:val="Normale"/>
    <w:uiPriority w:val="34"/>
    <w:qFormat/>
    <w:rsid w:val="00FD54BF"/>
    <w:pPr>
      <w:ind w:left="720"/>
      <w:contextualSpacing/>
    </w:pPr>
  </w:style>
  <w:style w:type="character" w:styleId="Enfasiintensa">
    <w:name w:val="Intense Emphasis"/>
    <w:basedOn w:val="Carpredefinitoparagrafo"/>
    <w:uiPriority w:val="21"/>
    <w:qFormat/>
    <w:rsid w:val="00FD54BF"/>
    <w:rPr>
      <w:i/>
      <w:iCs/>
      <w:color w:val="0F4761" w:themeColor="accent1" w:themeShade="BF"/>
    </w:rPr>
  </w:style>
  <w:style w:type="paragraph" w:styleId="Citazioneintensa">
    <w:name w:val="Intense Quote"/>
    <w:basedOn w:val="Normale"/>
    <w:next w:val="Normale"/>
    <w:link w:val="CitazioneintensaCarattere"/>
    <w:uiPriority w:val="30"/>
    <w:qFormat/>
    <w:rsid w:val="00FD5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D54BF"/>
    <w:rPr>
      <w:i/>
      <w:iCs/>
      <w:color w:val="0F4761" w:themeColor="accent1" w:themeShade="BF"/>
    </w:rPr>
  </w:style>
  <w:style w:type="character" w:styleId="Riferimentointenso">
    <w:name w:val="Intense Reference"/>
    <w:basedOn w:val="Carpredefinitoparagrafo"/>
    <w:uiPriority w:val="32"/>
    <w:qFormat/>
    <w:rsid w:val="00FD54BF"/>
    <w:rPr>
      <w:b/>
      <w:bCs/>
      <w:smallCaps/>
      <w:color w:val="0F4761" w:themeColor="accent1" w:themeShade="BF"/>
      <w:spacing w:val="5"/>
    </w:rPr>
  </w:style>
  <w:style w:type="character" w:styleId="Collegamentoipertestuale">
    <w:name w:val="Hyperlink"/>
    <w:basedOn w:val="Carpredefinitoparagrafo"/>
    <w:uiPriority w:val="99"/>
    <w:unhideWhenUsed/>
    <w:rsid w:val="00625F4D"/>
    <w:rPr>
      <w:color w:val="467886" w:themeColor="hyperlink"/>
      <w:u w:val="single"/>
    </w:rPr>
  </w:style>
  <w:style w:type="character" w:styleId="Menzionenonrisolta">
    <w:name w:val="Unresolved Mention"/>
    <w:basedOn w:val="Carpredefinitoparagrafo"/>
    <w:uiPriority w:val="99"/>
    <w:rsid w:val="00625F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9809007">
      <w:bodyDiv w:val="1"/>
      <w:marLeft w:val="0"/>
      <w:marRight w:val="0"/>
      <w:marTop w:val="0"/>
      <w:marBottom w:val="0"/>
      <w:divBdr>
        <w:top w:val="none" w:sz="0" w:space="0" w:color="auto"/>
        <w:left w:val="none" w:sz="0" w:space="0" w:color="auto"/>
        <w:bottom w:val="none" w:sz="0" w:space="0" w:color="auto"/>
        <w:right w:val="none" w:sz="0" w:space="0" w:color="auto"/>
      </w:divBdr>
    </w:div>
    <w:div w:id="1494636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ocenti.unin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947</Words>
  <Characters>5402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CARLOMAGNO</dc:creator>
  <cp:keywords/>
  <dc:description/>
  <cp:lastModifiedBy>FRANCESCA CARLOMAGNO</cp:lastModifiedBy>
  <cp:revision>2</cp:revision>
  <dcterms:created xsi:type="dcterms:W3CDTF">2025-11-11T11:32:00Z</dcterms:created>
  <dcterms:modified xsi:type="dcterms:W3CDTF">2025-11-11T11:32:00Z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2025-07-02T10:44:54Z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c146613d-f4d0-4690-a03c-fd203b3b3f55</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