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099A9B8F" w:rsidR="00FD54BF" w:rsidRPr="00131557" w:rsidRDefault="009F211E" w:rsidP="00D752D4">
      <w:pPr>
        <w:jc w:val="both"/>
        <w:rPr>
          <w:rFonts w:asciiTheme="minorBidi" w:hAnsiTheme="minorBidi"/>
          <w:b/>
          <w:bCs/>
        </w:rPr>
      </w:pPr>
      <w:r w:rsidRPr="00131557">
        <w:rPr>
          <w:rFonts w:asciiTheme="minorBidi" w:hAnsiTheme="minorBidi"/>
          <w:b/>
          <w:bCs/>
        </w:rPr>
        <w:t xml:space="preserve">PI </w:t>
      </w:r>
    </w:p>
    <w:p w14:paraId="4497EA79" w14:textId="57DB9671" w:rsidR="00FD54BF" w:rsidRPr="00131557" w:rsidRDefault="001E4185" w:rsidP="00D752D4">
      <w:pPr>
        <w:pBdr>
          <w:top w:val="single" w:sz="4" w:space="1" w:color="auto"/>
          <w:left w:val="single" w:sz="4" w:space="4" w:color="auto"/>
          <w:bottom w:val="single" w:sz="4" w:space="1" w:color="auto"/>
          <w:right w:val="single" w:sz="4" w:space="4" w:color="auto"/>
        </w:pBdr>
        <w:jc w:val="both"/>
        <w:rPr>
          <w:rFonts w:asciiTheme="minorBidi" w:hAnsiTheme="minorBidi"/>
        </w:rPr>
      </w:pPr>
      <w:hyperlink r:id="rId4" w:anchor="!/professor/44414e49454c415341524e415441524f53524e444e4c37314434364638333954/riferimenti" w:history="1">
        <w:r w:rsidRPr="00131557">
          <w:rPr>
            <w:rStyle w:val="Collegamentoipertestuale"/>
            <w:rFonts w:asciiTheme="minorBidi" w:hAnsiTheme="minorBidi"/>
          </w:rPr>
          <w:t>Daniela Sarnataro</w:t>
        </w:r>
      </w:hyperlink>
      <w:r w:rsidR="00E15D5E">
        <w:t>, Associate Professor</w:t>
      </w:r>
    </w:p>
    <w:p w14:paraId="2FA46921" w14:textId="77777777" w:rsidR="00FD54BF" w:rsidRPr="00131557" w:rsidRDefault="00FD54BF" w:rsidP="00D752D4">
      <w:pPr>
        <w:jc w:val="both"/>
        <w:rPr>
          <w:rFonts w:asciiTheme="minorBidi" w:hAnsiTheme="minorBidi"/>
        </w:rPr>
      </w:pPr>
    </w:p>
    <w:p w14:paraId="30797954" w14:textId="0B4E6530" w:rsidR="00FD54BF" w:rsidRPr="00131557" w:rsidRDefault="009F211E" w:rsidP="00D752D4">
      <w:pPr>
        <w:jc w:val="both"/>
        <w:rPr>
          <w:rFonts w:asciiTheme="minorBidi" w:hAnsiTheme="minorBidi"/>
        </w:rPr>
      </w:pPr>
      <w:r w:rsidRPr="00131557">
        <w:rPr>
          <w:rFonts w:asciiTheme="minorBidi" w:hAnsiTheme="minorBidi"/>
          <w:b/>
          <w:bCs/>
        </w:rPr>
        <w:t>GROUP</w:t>
      </w:r>
    </w:p>
    <w:p w14:paraId="38BAE456" w14:textId="231963CC" w:rsidR="00FD54BF" w:rsidRPr="000D6ACD" w:rsidRDefault="001E4185" w:rsidP="00D752D4">
      <w:pPr>
        <w:pBdr>
          <w:top w:val="single" w:sz="4" w:space="1" w:color="auto"/>
          <w:left w:val="single" w:sz="4" w:space="4" w:color="auto"/>
          <w:bottom w:val="single" w:sz="4" w:space="1" w:color="auto"/>
          <w:right w:val="single" w:sz="4" w:space="4" w:color="auto"/>
        </w:pBdr>
        <w:jc w:val="both"/>
        <w:rPr>
          <w:rFonts w:asciiTheme="minorBidi" w:hAnsiTheme="minorBidi"/>
        </w:rPr>
      </w:pPr>
      <w:r w:rsidRPr="000D6ACD">
        <w:rPr>
          <w:rFonts w:asciiTheme="minorBidi" w:hAnsiTheme="minorBidi"/>
        </w:rPr>
        <w:t>Adriana Limone</w:t>
      </w:r>
      <w:r w:rsidR="00361390">
        <w:rPr>
          <w:rFonts w:asciiTheme="minorBidi" w:hAnsiTheme="minorBidi"/>
        </w:rPr>
        <w:t>, Post-Doc</w:t>
      </w:r>
    </w:p>
    <w:p w14:paraId="74D67FFF" w14:textId="43C740A6" w:rsidR="00FD54BF" w:rsidRPr="00A06F2E" w:rsidRDefault="001E4185" w:rsidP="00D752D4">
      <w:pPr>
        <w:pBdr>
          <w:top w:val="single" w:sz="4" w:space="1" w:color="auto"/>
          <w:left w:val="single" w:sz="4" w:space="4" w:color="auto"/>
          <w:bottom w:val="single" w:sz="4" w:space="1" w:color="auto"/>
          <w:right w:val="single" w:sz="4" w:space="4" w:color="auto"/>
        </w:pBdr>
        <w:jc w:val="both"/>
        <w:rPr>
          <w:rFonts w:asciiTheme="minorBidi" w:hAnsiTheme="minorBidi"/>
          <w:color w:val="000000" w:themeColor="text1"/>
        </w:rPr>
      </w:pPr>
      <w:r w:rsidRPr="00E95540">
        <w:rPr>
          <w:rFonts w:asciiTheme="minorBidi" w:hAnsiTheme="minorBidi"/>
        </w:rPr>
        <w:t xml:space="preserve">Clelia </w:t>
      </w:r>
      <w:r w:rsidR="00E95540" w:rsidRPr="00E95540">
        <w:rPr>
          <w:rFonts w:asciiTheme="minorBidi" w:hAnsiTheme="minorBidi"/>
        </w:rPr>
        <w:t>D</w:t>
      </w:r>
      <w:r w:rsidRPr="00E95540">
        <w:rPr>
          <w:rFonts w:asciiTheme="minorBidi" w:hAnsiTheme="minorBidi"/>
        </w:rPr>
        <w:t xml:space="preserve">i </w:t>
      </w:r>
      <w:proofErr w:type="gramStart"/>
      <w:r w:rsidRPr="00E95540">
        <w:rPr>
          <w:rFonts w:asciiTheme="minorBidi" w:hAnsiTheme="minorBidi"/>
        </w:rPr>
        <w:t>Napoli</w:t>
      </w:r>
      <w:r w:rsidR="00361390" w:rsidRPr="00E95540">
        <w:rPr>
          <w:rFonts w:asciiTheme="minorBidi" w:hAnsiTheme="minorBidi"/>
        </w:rPr>
        <w:t xml:space="preserve">, </w:t>
      </w:r>
      <w:r w:rsidR="00E95540">
        <w:rPr>
          <w:rFonts w:asciiTheme="minorBidi" w:hAnsiTheme="minorBidi"/>
          <w:color w:val="EE0000"/>
        </w:rPr>
        <w:t xml:space="preserve"> </w:t>
      </w:r>
      <w:r w:rsidR="00A06F2E" w:rsidRPr="00A06F2E">
        <w:rPr>
          <w:rFonts w:asciiTheme="minorBidi" w:hAnsiTheme="minorBidi"/>
          <w:color w:val="000000" w:themeColor="text1"/>
        </w:rPr>
        <w:t>Post</w:t>
      </w:r>
      <w:proofErr w:type="gramEnd"/>
      <w:r w:rsidR="00A06F2E" w:rsidRPr="00A06F2E">
        <w:rPr>
          <w:rFonts w:asciiTheme="minorBidi" w:hAnsiTheme="minorBidi"/>
          <w:color w:val="000000" w:themeColor="text1"/>
        </w:rPr>
        <w:t xml:space="preserve">-graduate </w:t>
      </w:r>
      <w:proofErr w:type="spellStart"/>
      <w:r w:rsidR="00A06F2E" w:rsidRPr="00A06F2E">
        <w:rPr>
          <w:rFonts w:asciiTheme="minorBidi" w:hAnsiTheme="minorBidi"/>
          <w:color w:val="000000" w:themeColor="text1"/>
        </w:rPr>
        <w:t>research</w:t>
      </w:r>
      <w:proofErr w:type="spellEnd"/>
      <w:r w:rsidR="00A06F2E" w:rsidRPr="00A06F2E">
        <w:rPr>
          <w:rFonts w:asciiTheme="minorBidi" w:hAnsiTheme="minorBidi"/>
          <w:color w:val="000000" w:themeColor="text1"/>
        </w:rPr>
        <w:t xml:space="preserve"> fellow</w:t>
      </w:r>
    </w:p>
    <w:p w14:paraId="2417F220" w14:textId="77777777" w:rsidR="00053C76" w:rsidRPr="00D752D4" w:rsidRDefault="00053C76" w:rsidP="00D752D4">
      <w:pPr>
        <w:jc w:val="both"/>
        <w:rPr>
          <w:rFonts w:asciiTheme="minorBidi" w:hAnsiTheme="minorBidi"/>
        </w:rPr>
      </w:pPr>
    </w:p>
    <w:p w14:paraId="59BDA3FB" w14:textId="089AC41F" w:rsidR="00053C76" w:rsidRPr="00131557" w:rsidRDefault="00053C76" w:rsidP="00D752D4">
      <w:pPr>
        <w:jc w:val="both"/>
        <w:rPr>
          <w:rFonts w:asciiTheme="minorBidi" w:hAnsiTheme="minorBidi"/>
          <w:b/>
          <w:bCs/>
          <w:lang w:val="en-US"/>
        </w:rPr>
      </w:pPr>
      <w:r w:rsidRPr="00131557">
        <w:rPr>
          <w:rFonts w:asciiTheme="minorBidi" w:hAnsiTheme="minorBidi"/>
          <w:b/>
          <w:bCs/>
          <w:lang w:val="en-US"/>
        </w:rPr>
        <w:t>RESEARCH FIELD</w:t>
      </w:r>
    </w:p>
    <w:p w14:paraId="0E4EAD99" w14:textId="2774C0A5" w:rsidR="00053C76" w:rsidRPr="00D752D4" w:rsidRDefault="00A91C91" w:rsidP="00F30C86">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D752D4">
        <w:rPr>
          <w:rFonts w:asciiTheme="minorBidi" w:hAnsiTheme="minorBidi"/>
          <w:lang w:val="en-US"/>
        </w:rPr>
        <w:t xml:space="preserve">Membrane trafficking and </w:t>
      </w:r>
      <w:r w:rsidR="00D752D4">
        <w:rPr>
          <w:rFonts w:asciiTheme="minorBidi" w:hAnsiTheme="minorBidi"/>
          <w:lang w:val="en-US"/>
        </w:rPr>
        <w:t>protein folding</w:t>
      </w:r>
      <w:r w:rsidRPr="00D752D4">
        <w:rPr>
          <w:rFonts w:asciiTheme="minorBidi" w:hAnsiTheme="minorBidi"/>
          <w:lang w:val="en-US"/>
        </w:rPr>
        <w:t xml:space="preserve"> in neurodegenerative diseases</w:t>
      </w:r>
    </w:p>
    <w:p w14:paraId="0A366C3B" w14:textId="77777777" w:rsidR="00F877D5" w:rsidRPr="00D752D4" w:rsidRDefault="00F877D5" w:rsidP="00D752D4">
      <w:pPr>
        <w:jc w:val="both"/>
        <w:rPr>
          <w:rFonts w:asciiTheme="minorBidi" w:hAnsiTheme="minorBidi"/>
          <w:lang w:val="en-US"/>
        </w:rPr>
      </w:pPr>
    </w:p>
    <w:p w14:paraId="31461A76" w14:textId="274047EA" w:rsidR="00F877D5" w:rsidRPr="00D752D4" w:rsidRDefault="00F877D5" w:rsidP="00D752D4">
      <w:pPr>
        <w:jc w:val="both"/>
        <w:rPr>
          <w:rFonts w:asciiTheme="minorBidi" w:hAnsiTheme="minorBidi"/>
          <w:lang w:val="en-US"/>
        </w:rPr>
      </w:pPr>
      <w:r w:rsidRPr="00D752D4">
        <w:rPr>
          <w:rFonts w:asciiTheme="minorBidi" w:hAnsiTheme="minorBidi"/>
          <w:b/>
          <w:bCs/>
          <w:lang w:val="en-US"/>
        </w:rPr>
        <w:t>KEYWORDS</w:t>
      </w:r>
      <w:r w:rsidRPr="00D752D4">
        <w:rPr>
          <w:rFonts w:asciiTheme="minorBidi" w:hAnsiTheme="minorBidi"/>
          <w:lang w:val="en-US"/>
        </w:rPr>
        <w:t xml:space="preserve"> </w:t>
      </w:r>
    </w:p>
    <w:p w14:paraId="600972A0" w14:textId="6CF41FDE" w:rsidR="00A91C91" w:rsidRPr="00D752D4" w:rsidRDefault="00A91C91" w:rsidP="00D752D4">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D752D4">
        <w:rPr>
          <w:rFonts w:asciiTheme="minorBidi" w:hAnsiTheme="minorBidi"/>
          <w:lang w:val="en-US"/>
        </w:rPr>
        <w:t>Alzheimer’s disease; amyotrophic lateral sclerosis, ALS; neurodegenerative diseases; protein aggregation; protein misfolding</w:t>
      </w:r>
      <w:r w:rsidR="00D01742">
        <w:rPr>
          <w:rFonts w:asciiTheme="minorBidi" w:hAnsiTheme="minorBidi"/>
          <w:lang w:val="en-US"/>
        </w:rPr>
        <w:t>.</w:t>
      </w:r>
    </w:p>
    <w:p w14:paraId="532A94C1" w14:textId="77777777" w:rsidR="00F877D5" w:rsidRPr="00D752D4" w:rsidRDefault="00F877D5" w:rsidP="00D752D4">
      <w:pPr>
        <w:pBdr>
          <w:top w:val="single" w:sz="4" w:space="1" w:color="auto"/>
          <w:left w:val="single" w:sz="4" w:space="4" w:color="auto"/>
          <w:bottom w:val="single" w:sz="4" w:space="1" w:color="auto"/>
          <w:right w:val="single" w:sz="4" w:space="4" w:color="auto"/>
        </w:pBdr>
        <w:jc w:val="both"/>
        <w:rPr>
          <w:rFonts w:asciiTheme="minorBidi" w:hAnsiTheme="minorBidi"/>
          <w:lang w:val="en-US"/>
        </w:rPr>
      </w:pPr>
    </w:p>
    <w:p w14:paraId="68F83D14" w14:textId="77777777" w:rsidR="00FD54BF" w:rsidRPr="00D752D4" w:rsidRDefault="00FD54BF" w:rsidP="00D752D4">
      <w:pPr>
        <w:jc w:val="both"/>
        <w:rPr>
          <w:rFonts w:asciiTheme="minorBidi" w:hAnsiTheme="minorBidi"/>
          <w:lang w:val="en-US"/>
        </w:rPr>
      </w:pPr>
    </w:p>
    <w:p w14:paraId="3BBC079D" w14:textId="6813A583" w:rsidR="00FD54BF" w:rsidRPr="00D752D4" w:rsidRDefault="00FD54BF" w:rsidP="00D752D4">
      <w:pPr>
        <w:jc w:val="both"/>
        <w:rPr>
          <w:rFonts w:asciiTheme="minorBidi" w:hAnsiTheme="minorBidi"/>
          <w:lang w:val="en-US"/>
        </w:rPr>
      </w:pPr>
      <w:r w:rsidRPr="00D752D4">
        <w:rPr>
          <w:rFonts w:asciiTheme="minorBidi" w:hAnsiTheme="minorBidi"/>
          <w:b/>
          <w:bCs/>
          <w:lang w:val="en-US"/>
        </w:rPr>
        <w:t>ABSTRACT</w:t>
      </w:r>
      <w:r w:rsidRPr="00D752D4">
        <w:rPr>
          <w:rFonts w:asciiTheme="minorBidi" w:hAnsiTheme="minorBidi"/>
          <w:lang w:val="en-US"/>
        </w:rPr>
        <w:t xml:space="preserve"> </w:t>
      </w:r>
    </w:p>
    <w:p w14:paraId="58EF5078" w14:textId="77777777" w:rsidR="00B0097C" w:rsidRDefault="00B94CBD" w:rsidP="00B94CBD">
      <w:pPr>
        <w:pBdr>
          <w:top w:val="single" w:sz="4" w:space="0" w:color="auto"/>
          <w:left w:val="single" w:sz="4" w:space="4" w:color="auto"/>
          <w:bottom w:val="single" w:sz="4" w:space="1" w:color="auto"/>
          <w:right w:val="single" w:sz="4" w:space="4" w:color="auto"/>
        </w:pBdr>
        <w:jc w:val="both"/>
        <w:rPr>
          <w:rFonts w:asciiTheme="minorBidi" w:hAnsiTheme="minorBidi"/>
          <w:lang w:val="en-US"/>
        </w:rPr>
      </w:pPr>
      <w:r w:rsidRPr="00B94CBD">
        <w:rPr>
          <w:rFonts w:asciiTheme="minorBidi" w:hAnsiTheme="minorBidi"/>
          <w:lang w:val="en-US"/>
        </w:rPr>
        <w:t>Protein homeostasis is maintained through tightly regulated processes including protein folding, posttranslational modifications (PTMs), degradation, and membrane trafficking. Disruption of these processes is a key contributor to the pathogenesis of several neurodegenerative diseases, such as Alzheimer’s disease, prion disorders, and amyotrophic lateral sclerosis (ALS). Misfolded proteins, when not adequately refolded or degraded, can aggregate and trigger cellular dysfunction. These aggregates are not only toxic to cells but also activate inflammatory pathways, particularly the NLRP3 inflammasome, amplifying neuroinflammation and neuronal injury. Understanding the interplay between protein quality control systems</w:t>
      </w:r>
      <w:r w:rsidR="00B0097C">
        <w:rPr>
          <w:rFonts w:asciiTheme="minorBidi" w:hAnsiTheme="minorBidi"/>
          <w:lang w:val="en-US"/>
        </w:rPr>
        <w:t>, membrane trafficking</w:t>
      </w:r>
      <w:r w:rsidRPr="00B94CBD">
        <w:rPr>
          <w:rFonts w:asciiTheme="minorBidi" w:hAnsiTheme="minorBidi"/>
          <w:lang w:val="en-US"/>
        </w:rPr>
        <w:t xml:space="preserve"> and innate immune activation is essential to unravel the mechanisms driving neurodegeneration and to identify new therapeutic targets.</w:t>
      </w:r>
    </w:p>
    <w:p w14:paraId="7ED61725" w14:textId="450F4CE3" w:rsidR="00F877D5" w:rsidRPr="00D752D4" w:rsidRDefault="00B94CBD" w:rsidP="00F30C86">
      <w:pPr>
        <w:pBdr>
          <w:top w:val="single" w:sz="4" w:space="0" w:color="auto"/>
          <w:left w:val="single" w:sz="4" w:space="4" w:color="auto"/>
          <w:bottom w:val="single" w:sz="4" w:space="1" w:color="auto"/>
          <w:right w:val="single" w:sz="4" w:space="4" w:color="auto"/>
        </w:pBdr>
        <w:jc w:val="both"/>
        <w:rPr>
          <w:rFonts w:asciiTheme="minorBidi" w:hAnsiTheme="minorBidi"/>
          <w:lang w:val="en-US"/>
        </w:rPr>
      </w:pPr>
      <w:r w:rsidRPr="00B94CBD">
        <w:rPr>
          <w:rFonts w:asciiTheme="minorBidi" w:hAnsiTheme="minorBidi"/>
          <w:lang w:val="en-US"/>
        </w:rPr>
        <w:t>To investigate the molecular mechanisms linking protein misfolding</w:t>
      </w:r>
      <w:r w:rsidR="000B0528">
        <w:rPr>
          <w:rFonts w:asciiTheme="minorBidi" w:hAnsiTheme="minorBidi"/>
          <w:lang w:val="en-US"/>
        </w:rPr>
        <w:t>/trafficking</w:t>
      </w:r>
      <w:r w:rsidRPr="00B94CBD">
        <w:rPr>
          <w:rFonts w:asciiTheme="minorBidi" w:hAnsiTheme="minorBidi"/>
          <w:lang w:val="en-US"/>
        </w:rPr>
        <w:t xml:space="preserve"> to neuroinflammation in neurodegenerative diseases, we utilized patient-derived cellular models. Induced pluripotent stem cell (iPSC)-derived astrocytes from individuals diagnosed with ALS and frontotemporal dementia (FTD) were generated and analyzed, alongside primary fibroblasts from the same patient cohort. These models enabled us to study disease-relevant cell types in a human context, focusing on protein processing pathways, aggregate formation, and inflammasome activation under disease-relevant stress conditions.</w:t>
      </w:r>
      <w:r w:rsidRPr="00B94CBD">
        <w:rPr>
          <w:rFonts w:asciiTheme="minorBidi" w:hAnsiTheme="minorBidi"/>
          <w:lang w:val="en-US"/>
        </w:rPr>
        <w:br/>
        <w:t>Our findings reveal that disruptions in protein folding and PTMs contribute to the accumulation of misfolded and aggregated proteins in both iPSC-derived astrocytes and patient fibroblasts. These aggregates were insufficiently cleared by proteasomal and autophagic pathways, leading to intracellular accumulation. Furthermore, we observed significant activation of the NLRP3 inflammasome in these models, as evidenced by elevated levels of IL-1</w:t>
      </w:r>
      <w:r w:rsidRPr="00B94CBD">
        <w:rPr>
          <w:rFonts w:asciiTheme="minorBidi" w:hAnsiTheme="minorBidi"/>
        </w:rPr>
        <w:t>β</w:t>
      </w:r>
      <w:r w:rsidRPr="00B94CBD">
        <w:rPr>
          <w:rFonts w:asciiTheme="minorBidi" w:hAnsiTheme="minorBidi"/>
          <w:lang w:val="en-US"/>
        </w:rPr>
        <w:t xml:space="preserve"> and IL-18, implicating a direct link between impaired protein homeostasis and inflammatory signaling. The data support a model in which defective protein processing and clearance not only compromise cellular integrity but also promote neuroinflammation through inflammasome activation, thus driving neurodegenerative pathology. These findings highlight potential therapeutic strategies aimed at enhancing protein quality control mechanisms and inhibiting inflammasome-mediated inflammation.</w:t>
      </w:r>
    </w:p>
    <w:p w14:paraId="65D046DC" w14:textId="77777777" w:rsidR="00FD54BF" w:rsidRPr="00D752D4" w:rsidRDefault="00FD54BF" w:rsidP="00D752D4">
      <w:pPr>
        <w:jc w:val="both"/>
        <w:rPr>
          <w:rFonts w:asciiTheme="minorBidi" w:hAnsiTheme="minorBidi"/>
          <w:lang w:val="en-US"/>
        </w:rPr>
      </w:pPr>
    </w:p>
    <w:p w14:paraId="28A1EEF7" w14:textId="77777777" w:rsidR="00F30C86" w:rsidRDefault="00F30C86" w:rsidP="00D752D4">
      <w:pPr>
        <w:jc w:val="both"/>
        <w:rPr>
          <w:rFonts w:asciiTheme="minorBidi" w:hAnsiTheme="minorBidi"/>
          <w:b/>
          <w:bCs/>
          <w:lang w:val="en-US"/>
        </w:rPr>
      </w:pPr>
    </w:p>
    <w:p w14:paraId="67C2A6E6" w14:textId="77777777" w:rsidR="00F30C86" w:rsidRDefault="00F30C86" w:rsidP="00D752D4">
      <w:pPr>
        <w:jc w:val="both"/>
        <w:rPr>
          <w:rFonts w:asciiTheme="minorBidi" w:hAnsiTheme="minorBidi"/>
          <w:b/>
          <w:bCs/>
          <w:lang w:val="en-US"/>
        </w:rPr>
      </w:pPr>
    </w:p>
    <w:p w14:paraId="2F42934F" w14:textId="39BE2083" w:rsidR="00FD54BF" w:rsidRPr="00D752D4" w:rsidRDefault="009F211E" w:rsidP="00D752D4">
      <w:pPr>
        <w:jc w:val="both"/>
        <w:rPr>
          <w:rFonts w:asciiTheme="minorBidi" w:hAnsiTheme="minorBidi"/>
          <w:lang w:val="en-US"/>
        </w:rPr>
      </w:pPr>
      <w:r w:rsidRPr="00D752D4">
        <w:rPr>
          <w:rFonts w:asciiTheme="minorBidi" w:hAnsiTheme="minorBidi"/>
          <w:b/>
          <w:bCs/>
          <w:lang w:val="en-US"/>
        </w:rPr>
        <w:t>PUBLICATIONS</w:t>
      </w:r>
      <w:r w:rsidR="00FD54BF" w:rsidRPr="00D752D4">
        <w:rPr>
          <w:rFonts w:asciiTheme="minorBidi" w:hAnsiTheme="minorBidi"/>
          <w:lang w:val="en-US"/>
        </w:rPr>
        <w:t xml:space="preserve"> (</w:t>
      </w:r>
      <w:r w:rsidR="00361390">
        <w:rPr>
          <w:rFonts w:asciiTheme="minorBidi" w:hAnsiTheme="minorBidi"/>
          <w:lang w:val="en-US"/>
        </w:rPr>
        <w:t>only</w:t>
      </w:r>
      <w:r w:rsidR="00FD54BF" w:rsidRPr="00D752D4">
        <w:rPr>
          <w:rFonts w:asciiTheme="minorBidi" w:hAnsiTheme="minorBidi"/>
          <w:lang w:val="en-US"/>
        </w:rPr>
        <w:t xml:space="preserve"> 5 </w:t>
      </w:r>
      <w:r w:rsidR="00361390">
        <w:rPr>
          <w:rFonts w:asciiTheme="minorBidi" w:hAnsiTheme="minorBidi"/>
          <w:lang w:val="en-US"/>
        </w:rPr>
        <w:t xml:space="preserve">in the </w:t>
      </w:r>
      <w:r w:rsidRPr="00D752D4">
        <w:rPr>
          <w:rFonts w:asciiTheme="minorBidi" w:hAnsiTheme="minorBidi"/>
          <w:lang w:val="en-US"/>
        </w:rPr>
        <w:t>last 5 years</w:t>
      </w:r>
      <w:r w:rsidR="00FD54BF" w:rsidRPr="00D752D4">
        <w:rPr>
          <w:rFonts w:asciiTheme="minorBidi" w:hAnsiTheme="minorBidi"/>
          <w:lang w:val="en-US"/>
        </w:rPr>
        <w:t>)</w:t>
      </w:r>
      <w:r w:rsidR="005E3DA9" w:rsidRPr="00D752D4">
        <w:rPr>
          <w:rFonts w:asciiTheme="minorBidi" w:hAnsiTheme="minorBidi"/>
          <w:lang w:val="en-US"/>
        </w:rPr>
        <w:t xml:space="preserve"> </w:t>
      </w:r>
    </w:p>
    <w:p w14:paraId="7C944481" w14:textId="2EF747C4" w:rsidR="005B5662" w:rsidRDefault="004E7623" w:rsidP="005B5662">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4E7623">
        <w:rPr>
          <w:rFonts w:asciiTheme="minorBidi" w:hAnsiTheme="minorBidi"/>
        </w:rPr>
        <w:lastRenderedPageBreak/>
        <w:t xml:space="preserve">Limone A, Di Napoli C, De Rosa G, et al. </w:t>
      </w:r>
      <w:r w:rsidRPr="004E7623">
        <w:rPr>
          <w:rFonts w:asciiTheme="minorBidi" w:hAnsiTheme="minorBidi"/>
          <w:lang w:val="en-US"/>
        </w:rPr>
        <w:t xml:space="preserve">Modulation of mitochondrial quality control through autophagic pathway in familial Alzheimer's disease. </w:t>
      </w:r>
      <w:proofErr w:type="spellStart"/>
      <w:r w:rsidRPr="004E7623">
        <w:rPr>
          <w:rFonts w:asciiTheme="minorBidi" w:hAnsiTheme="minorBidi"/>
          <w:i/>
          <w:iCs/>
          <w:lang w:val="en-US"/>
        </w:rPr>
        <w:t>Biochim</w:t>
      </w:r>
      <w:proofErr w:type="spellEnd"/>
      <w:r w:rsidRPr="004E7623">
        <w:rPr>
          <w:rFonts w:asciiTheme="minorBidi" w:hAnsiTheme="minorBidi"/>
          <w:i/>
          <w:iCs/>
          <w:lang w:val="en-US"/>
        </w:rPr>
        <w:t xml:space="preserve"> </w:t>
      </w:r>
      <w:proofErr w:type="spellStart"/>
      <w:r w:rsidRPr="004E7623">
        <w:rPr>
          <w:rFonts w:asciiTheme="minorBidi" w:hAnsiTheme="minorBidi"/>
          <w:i/>
          <w:iCs/>
          <w:lang w:val="en-US"/>
        </w:rPr>
        <w:t>Biophys</w:t>
      </w:r>
      <w:proofErr w:type="spellEnd"/>
      <w:r w:rsidRPr="004E7623">
        <w:rPr>
          <w:rFonts w:asciiTheme="minorBidi" w:hAnsiTheme="minorBidi"/>
          <w:i/>
          <w:iCs/>
          <w:lang w:val="en-US"/>
        </w:rPr>
        <w:t xml:space="preserve"> Acta Mol Cell Res.</w:t>
      </w:r>
      <w:r w:rsidRPr="004E7623">
        <w:rPr>
          <w:rFonts w:asciiTheme="minorBidi" w:hAnsiTheme="minorBidi"/>
          <w:lang w:val="en-US"/>
        </w:rPr>
        <w:t xml:space="preserve"> Published online July 7, 2025. </w:t>
      </w:r>
      <w:proofErr w:type="gramStart"/>
      <w:r w:rsidRPr="004E7623">
        <w:rPr>
          <w:rFonts w:asciiTheme="minorBidi" w:hAnsiTheme="minorBidi"/>
          <w:lang w:val="en-US"/>
        </w:rPr>
        <w:t>doi:10.1016/j.bbamcr</w:t>
      </w:r>
      <w:proofErr w:type="gramEnd"/>
      <w:r w:rsidRPr="004E7623">
        <w:rPr>
          <w:rFonts w:asciiTheme="minorBidi" w:hAnsiTheme="minorBidi"/>
          <w:lang w:val="en-US"/>
        </w:rPr>
        <w:t>.2025.120019</w:t>
      </w:r>
    </w:p>
    <w:p w14:paraId="5F88F4E8" w14:textId="77777777" w:rsidR="004E7623" w:rsidRPr="005B5662" w:rsidRDefault="004E7623" w:rsidP="005B5662">
      <w:pPr>
        <w:pBdr>
          <w:top w:val="single" w:sz="4" w:space="1" w:color="auto"/>
          <w:left w:val="single" w:sz="4" w:space="4" w:color="auto"/>
          <w:bottom w:val="single" w:sz="4" w:space="1" w:color="auto"/>
          <w:right w:val="single" w:sz="4" w:space="4" w:color="auto"/>
        </w:pBdr>
        <w:jc w:val="both"/>
        <w:rPr>
          <w:rFonts w:asciiTheme="minorBidi" w:hAnsiTheme="minorBidi"/>
          <w:lang w:val="en-US"/>
        </w:rPr>
      </w:pPr>
    </w:p>
    <w:p w14:paraId="52FB18A9" w14:textId="731A4935" w:rsidR="007F3344" w:rsidRDefault="007F3344" w:rsidP="007F3344">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7F3344">
        <w:rPr>
          <w:rFonts w:asciiTheme="minorBidi" w:hAnsiTheme="minorBidi"/>
        </w:rPr>
        <w:t xml:space="preserve">Limone A, Di Napoli C, Napolitano F, et al. </w:t>
      </w:r>
      <w:r w:rsidRPr="007F3344">
        <w:rPr>
          <w:rFonts w:asciiTheme="minorBidi" w:hAnsiTheme="minorBidi"/>
          <w:lang w:val="en-US"/>
        </w:rPr>
        <w:t xml:space="preserve">Targeting RPSA to modulate endosomal trafficking and </w:t>
      </w:r>
      <w:proofErr w:type="spellStart"/>
      <w:r w:rsidRPr="007F3344">
        <w:rPr>
          <w:rFonts w:asciiTheme="minorBidi" w:hAnsiTheme="minorBidi"/>
          <w:lang w:val="en-US"/>
        </w:rPr>
        <w:t>amyloidogenesis</w:t>
      </w:r>
      <w:proofErr w:type="spellEnd"/>
      <w:r w:rsidRPr="007F3344">
        <w:rPr>
          <w:rFonts w:asciiTheme="minorBidi" w:hAnsiTheme="minorBidi"/>
          <w:lang w:val="en-US"/>
        </w:rPr>
        <w:t xml:space="preserve"> in genetic Alzheimer's disease. </w:t>
      </w:r>
      <w:proofErr w:type="spellStart"/>
      <w:r w:rsidRPr="00F30C86">
        <w:rPr>
          <w:rFonts w:asciiTheme="minorBidi" w:hAnsiTheme="minorBidi"/>
          <w:i/>
          <w:iCs/>
          <w:lang w:val="en-US"/>
        </w:rPr>
        <w:t>Biochim</w:t>
      </w:r>
      <w:proofErr w:type="spellEnd"/>
      <w:r w:rsidRPr="00F30C86">
        <w:rPr>
          <w:rFonts w:asciiTheme="minorBidi" w:hAnsiTheme="minorBidi"/>
          <w:i/>
          <w:iCs/>
          <w:lang w:val="en-US"/>
        </w:rPr>
        <w:t xml:space="preserve"> </w:t>
      </w:r>
      <w:proofErr w:type="spellStart"/>
      <w:r w:rsidRPr="00F30C86">
        <w:rPr>
          <w:rFonts w:asciiTheme="minorBidi" w:hAnsiTheme="minorBidi"/>
          <w:i/>
          <w:iCs/>
          <w:lang w:val="en-US"/>
        </w:rPr>
        <w:t>Biophys</w:t>
      </w:r>
      <w:proofErr w:type="spellEnd"/>
      <w:r w:rsidRPr="00F30C86">
        <w:rPr>
          <w:rFonts w:asciiTheme="minorBidi" w:hAnsiTheme="minorBidi"/>
          <w:i/>
          <w:iCs/>
          <w:lang w:val="en-US"/>
        </w:rPr>
        <w:t xml:space="preserve"> Acta Mol Basis Dis</w:t>
      </w:r>
      <w:r w:rsidRPr="00F30C86">
        <w:rPr>
          <w:rFonts w:asciiTheme="minorBidi" w:hAnsiTheme="minorBidi"/>
          <w:lang w:val="en-US"/>
        </w:rPr>
        <w:t xml:space="preserve">. 2025;1871(5):167753. </w:t>
      </w:r>
      <w:proofErr w:type="gramStart"/>
      <w:r w:rsidRPr="00F30C86">
        <w:rPr>
          <w:rFonts w:asciiTheme="minorBidi" w:hAnsiTheme="minorBidi"/>
          <w:lang w:val="en-US"/>
        </w:rPr>
        <w:t>doi:10.1016/j.bbadis</w:t>
      </w:r>
      <w:proofErr w:type="gramEnd"/>
      <w:r w:rsidRPr="00F30C86">
        <w:rPr>
          <w:rFonts w:asciiTheme="minorBidi" w:hAnsiTheme="minorBidi"/>
          <w:lang w:val="en-US"/>
        </w:rPr>
        <w:t>.2025.167753</w:t>
      </w:r>
    </w:p>
    <w:p w14:paraId="4FD10CDB" w14:textId="21E7072D" w:rsidR="007F3344" w:rsidRPr="00F30C86" w:rsidRDefault="007F3344" w:rsidP="007F3344">
      <w:pPr>
        <w:pBdr>
          <w:top w:val="single" w:sz="4" w:space="1" w:color="auto"/>
          <w:left w:val="single" w:sz="4" w:space="4" w:color="auto"/>
          <w:bottom w:val="single" w:sz="4" w:space="1" w:color="auto"/>
          <w:right w:val="single" w:sz="4" w:space="4" w:color="auto"/>
        </w:pBdr>
        <w:jc w:val="both"/>
        <w:rPr>
          <w:rFonts w:asciiTheme="minorBidi" w:hAnsiTheme="minorBidi"/>
          <w:lang w:val="en-US"/>
        </w:rPr>
      </w:pPr>
    </w:p>
    <w:p w14:paraId="3D1DA715" w14:textId="4A97C10A" w:rsidR="007F3344" w:rsidRPr="00F30C86" w:rsidRDefault="007F3344" w:rsidP="007F3344">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F30C86">
        <w:rPr>
          <w:rFonts w:asciiTheme="minorBidi" w:hAnsiTheme="minorBidi"/>
          <w:lang w:val="en-US"/>
        </w:rPr>
        <w:t xml:space="preserve">Limone A, </w:t>
      </w:r>
      <w:proofErr w:type="spellStart"/>
      <w:r w:rsidRPr="00F30C86">
        <w:rPr>
          <w:rFonts w:asciiTheme="minorBidi" w:hAnsiTheme="minorBidi"/>
          <w:lang w:val="en-US"/>
        </w:rPr>
        <w:t>Maggisano</w:t>
      </w:r>
      <w:proofErr w:type="spellEnd"/>
      <w:r w:rsidRPr="00F30C86">
        <w:rPr>
          <w:rFonts w:asciiTheme="minorBidi" w:hAnsiTheme="minorBidi"/>
          <w:lang w:val="en-US"/>
        </w:rPr>
        <w:t xml:space="preserve"> V, </w:t>
      </w:r>
      <w:proofErr w:type="spellStart"/>
      <w:r w:rsidRPr="00F30C86">
        <w:rPr>
          <w:rFonts w:asciiTheme="minorBidi" w:hAnsiTheme="minorBidi"/>
          <w:lang w:val="en-US"/>
        </w:rPr>
        <w:t>Sarnataro</w:t>
      </w:r>
      <w:proofErr w:type="spellEnd"/>
      <w:r w:rsidRPr="00F30C86">
        <w:rPr>
          <w:rFonts w:asciiTheme="minorBidi" w:hAnsiTheme="minorBidi"/>
          <w:lang w:val="en-US"/>
        </w:rPr>
        <w:t xml:space="preserve"> D, </w:t>
      </w:r>
      <w:proofErr w:type="spellStart"/>
      <w:r w:rsidRPr="00F30C86">
        <w:rPr>
          <w:rFonts w:asciiTheme="minorBidi" w:hAnsiTheme="minorBidi"/>
          <w:lang w:val="en-US"/>
        </w:rPr>
        <w:t>Bulotta</w:t>
      </w:r>
      <w:proofErr w:type="spellEnd"/>
      <w:r w:rsidRPr="00F30C86">
        <w:rPr>
          <w:rFonts w:asciiTheme="minorBidi" w:hAnsiTheme="minorBidi"/>
          <w:lang w:val="en-US"/>
        </w:rPr>
        <w:t xml:space="preserve"> S. Emerging roles of the cellular prion protein (</w:t>
      </w:r>
      <w:proofErr w:type="spellStart"/>
      <w:r w:rsidRPr="00F30C86">
        <w:rPr>
          <w:rFonts w:asciiTheme="minorBidi" w:hAnsiTheme="minorBidi"/>
          <w:lang w:val="en-US"/>
        </w:rPr>
        <w:t>PrP</w:t>
      </w:r>
      <w:r w:rsidRPr="00F30C86">
        <w:rPr>
          <w:rFonts w:asciiTheme="minorBidi" w:hAnsiTheme="minorBidi"/>
          <w:vertAlign w:val="superscript"/>
          <w:lang w:val="en-US"/>
        </w:rPr>
        <w:t>C</w:t>
      </w:r>
      <w:proofErr w:type="spellEnd"/>
      <w:r w:rsidRPr="00F30C86">
        <w:rPr>
          <w:rFonts w:asciiTheme="minorBidi" w:hAnsiTheme="minorBidi"/>
          <w:lang w:val="en-US"/>
        </w:rPr>
        <w:t>) and 37/67 </w:t>
      </w:r>
      <w:proofErr w:type="spellStart"/>
      <w:r w:rsidRPr="00F30C86">
        <w:rPr>
          <w:rFonts w:asciiTheme="minorBidi" w:hAnsiTheme="minorBidi"/>
          <w:lang w:val="en-US"/>
        </w:rPr>
        <w:t>kDa</w:t>
      </w:r>
      <w:proofErr w:type="spellEnd"/>
      <w:r w:rsidRPr="00F30C86">
        <w:rPr>
          <w:rFonts w:asciiTheme="minorBidi" w:hAnsiTheme="minorBidi"/>
          <w:lang w:val="en-US"/>
        </w:rPr>
        <w:t xml:space="preserve"> laminin receptor (RPSA) interaction in cancer biology. </w:t>
      </w:r>
      <w:r w:rsidRPr="00F30C86">
        <w:rPr>
          <w:rFonts w:asciiTheme="minorBidi" w:hAnsiTheme="minorBidi"/>
          <w:i/>
          <w:iCs/>
          <w:lang w:val="en-US"/>
        </w:rPr>
        <w:t>Cell Mol Life Sci</w:t>
      </w:r>
      <w:r w:rsidRPr="00F30C86">
        <w:rPr>
          <w:rFonts w:asciiTheme="minorBidi" w:hAnsiTheme="minorBidi"/>
          <w:lang w:val="en-US"/>
        </w:rPr>
        <w:t>. 2023;80(8):207. Published 2023 Jul 15. doi:10.1007/s00018-023-04844-2</w:t>
      </w:r>
    </w:p>
    <w:p w14:paraId="3AD57D11" w14:textId="2B2BC640" w:rsidR="007F3344" w:rsidRPr="00F30C86" w:rsidRDefault="007F3344" w:rsidP="007F3344">
      <w:pPr>
        <w:pBdr>
          <w:top w:val="single" w:sz="4" w:space="1" w:color="auto"/>
          <w:left w:val="single" w:sz="4" w:space="4" w:color="auto"/>
          <w:bottom w:val="single" w:sz="4" w:space="1" w:color="auto"/>
          <w:right w:val="single" w:sz="4" w:space="4" w:color="auto"/>
        </w:pBdr>
        <w:jc w:val="both"/>
        <w:rPr>
          <w:rFonts w:asciiTheme="minorBidi" w:hAnsiTheme="minorBidi"/>
          <w:lang w:val="en-US"/>
        </w:rPr>
      </w:pPr>
    </w:p>
    <w:p w14:paraId="13FBF5EA" w14:textId="77777777" w:rsidR="007F3344" w:rsidRPr="007F3344" w:rsidRDefault="007F3344" w:rsidP="007F3344">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F30C86">
        <w:rPr>
          <w:rFonts w:asciiTheme="minorBidi" w:hAnsiTheme="minorBidi"/>
          <w:lang w:val="en-US"/>
        </w:rPr>
        <w:t xml:space="preserve">Limone A, </w:t>
      </w:r>
      <w:proofErr w:type="spellStart"/>
      <w:r w:rsidRPr="00F30C86">
        <w:rPr>
          <w:rFonts w:asciiTheme="minorBidi" w:hAnsiTheme="minorBidi"/>
          <w:lang w:val="en-US"/>
        </w:rPr>
        <w:t>Veneruso</w:t>
      </w:r>
      <w:proofErr w:type="spellEnd"/>
      <w:r w:rsidRPr="00F30C86">
        <w:rPr>
          <w:rFonts w:asciiTheme="minorBidi" w:hAnsiTheme="minorBidi"/>
          <w:lang w:val="en-US"/>
        </w:rPr>
        <w:t xml:space="preserve"> I, Izzo A, et al. </w:t>
      </w:r>
      <w:r w:rsidRPr="007F3344">
        <w:rPr>
          <w:rFonts w:asciiTheme="minorBidi" w:hAnsiTheme="minorBidi"/>
          <w:lang w:val="en-US"/>
        </w:rPr>
        <w:t xml:space="preserve">Activation of Non-Canonical Autophagic Pathway through Inhibition of Non-Integrin Laminin Receptor in Neuronal Cells. </w:t>
      </w:r>
      <w:r w:rsidRPr="007F3344">
        <w:rPr>
          <w:rFonts w:asciiTheme="minorBidi" w:hAnsiTheme="minorBidi"/>
          <w:i/>
          <w:iCs/>
          <w:lang w:val="en-US"/>
        </w:rPr>
        <w:t>Cells</w:t>
      </w:r>
      <w:r w:rsidRPr="007F3344">
        <w:rPr>
          <w:rFonts w:asciiTheme="minorBidi" w:hAnsiTheme="minorBidi"/>
          <w:lang w:val="en-US"/>
        </w:rPr>
        <w:t>. 2022;11(3):466. Published 2022 Jan 29. doi:10.3390/cells11030466</w:t>
      </w:r>
    </w:p>
    <w:p w14:paraId="370B061E" w14:textId="77777777" w:rsidR="007F3344" w:rsidRPr="007F3344" w:rsidRDefault="007F3344" w:rsidP="007F3344">
      <w:pPr>
        <w:pBdr>
          <w:top w:val="single" w:sz="4" w:space="1" w:color="auto"/>
          <w:left w:val="single" w:sz="4" w:space="4" w:color="auto"/>
          <w:bottom w:val="single" w:sz="4" w:space="1" w:color="auto"/>
          <w:right w:val="single" w:sz="4" w:space="4" w:color="auto"/>
        </w:pBdr>
        <w:jc w:val="both"/>
        <w:rPr>
          <w:rFonts w:asciiTheme="minorBidi" w:hAnsiTheme="minorBidi"/>
          <w:lang w:val="en-US"/>
        </w:rPr>
      </w:pPr>
    </w:p>
    <w:p w14:paraId="25977EC1" w14:textId="15B8593F" w:rsidR="00FD54BF" w:rsidRPr="00F30C86" w:rsidRDefault="007F3344" w:rsidP="00726540">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7F3344">
        <w:rPr>
          <w:rFonts w:asciiTheme="minorBidi" w:hAnsiTheme="minorBidi"/>
          <w:lang w:val="en-US"/>
        </w:rPr>
        <w:t>Bhattacharya A, Izzo A, Mollo N, et al. Inhibition of 37/67kDa Laminin-1 Receptor Restores APP Maturation and Reduces Amyloid-</w:t>
      </w:r>
      <w:r w:rsidRPr="007F3344">
        <w:rPr>
          <w:rFonts w:asciiTheme="minorBidi" w:hAnsiTheme="minorBidi"/>
        </w:rPr>
        <w:t>β</w:t>
      </w:r>
      <w:r w:rsidRPr="007F3344">
        <w:rPr>
          <w:rFonts w:asciiTheme="minorBidi" w:hAnsiTheme="minorBidi"/>
          <w:lang w:val="en-US"/>
        </w:rPr>
        <w:t xml:space="preserve"> in Human Skin Fibroblasts from Familial Alzheimer's Disease. </w:t>
      </w:r>
      <w:r w:rsidRPr="00F30C86">
        <w:rPr>
          <w:rFonts w:asciiTheme="minorBidi" w:hAnsiTheme="minorBidi"/>
          <w:i/>
          <w:iCs/>
          <w:lang w:val="en-US"/>
        </w:rPr>
        <w:t>J Pers Med</w:t>
      </w:r>
      <w:r w:rsidRPr="00F30C86">
        <w:rPr>
          <w:rFonts w:asciiTheme="minorBidi" w:hAnsiTheme="minorBidi"/>
          <w:lang w:val="en-US"/>
        </w:rPr>
        <w:t>. 2020;10(4):232. Published 2020 Nov 16. doi:10.3390/jpm10040232</w:t>
      </w:r>
    </w:p>
    <w:p w14:paraId="6730BE66" w14:textId="77777777" w:rsidR="00FD54BF" w:rsidRPr="00D752D4" w:rsidRDefault="00FD54BF" w:rsidP="00D752D4">
      <w:pPr>
        <w:jc w:val="both"/>
        <w:rPr>
          <w:rFonts w:asciiTheme="minorBidi" w:hAnsiTheme="minorBidi"/>
          <w:lang w:val="en-US"/>
        </w:rPr>
      </w:pPr>
    </w:p>
    <w:p w14:paraId="123A8834" w14:textId="4DF226AB" w:rsidR="00FD54BF" w:rsidRPr="00D752D4" w:rsidRDefault="009F211E" w:rsidP="00D752D4">
      <w:pPr>
        <w:jc w:val="both"/>
        <w:rPr>
          <w:rFonts w:asciiTheme="minorBidi" w:hAnsiTheme="minorBidi"/>
          <w:lang w:val="en-US"/>
        </w:rPr>
      </w:pPr>
      <w:r w:rsidRPr="00D752D4">
        <w:rPr>
          <w:rFonts w:asciiTheme="minorBidi" w:hAnsiTheme="minorBidi"/>
          <w:b/>
          <w:bCs/>
          <w:lang w:val="en-US"/>
        </w:rPr>
        <w:t>FUNDING</w:t>
      </w:r>
      <w:r w:rsidRPr="00D752D4">
        <w:rPr>
          <w:rFonts w:asciiTheme="minorBidi" w:hAnsiTheme="minorBidi"/>
          <w:lang w:val="en-US"/>
        </w:rPr>
        <w:t xml:space="preserve"> </w:t>
      </w:r>
    </w:p>
    <w:p w14:paraId="0E000764" w14:textId="030426DB" w:rsidR="006E77F3" w:rsidRPr="00131557" w:rsidRDefault="006E77F3" w:rsidP="006E77F3">
      <w:pPr>
        <w:pBdr>
          <w:top w:val="single" w:sz="4" w:space="1" w:color="auto"/>
          <w:left w:val="single" w:sz="4" w:space="4" w:color="auto"/>
          <w:bottom w:val="single" w:sz="4" w:space="1" w:color="auto"/>
          <w:right w:val="single" w:sz="4" w:space="4" w:color="auto"/>
        </w:pBdr>
        <w:jc w:val="both"/>
        <w:rPr>
          <w:rFonts w:asciiTheme="minorBidi" w:hAnsiTheme="minorBidi"/>
        </w:rPr>
      </w:pPr>
      <w:r w:rsidRPr="00F27F25">
        <w:rPr>
          <w:rFonts w:asciiTheme="minorBidi" w:hAnsiTheme="minorBidi"/>
          <w:lang w:val="en-US"/>
        </w:rPr>
        <w:t>PNRR_M6/C2_CALL 2023 -Italian Ministry of Health</w:t>
      </w:r>
      <w:r w:rsidRPr="00F27F25">
        <w:rPr>
          <w:rFonts w:asciiTheme="minorBidi" w:hAnsiTheme="minorBidi"/>
          <w:color w:val="000000" w:themeColor="text1"/>
          <w:shd w:val="clear" w:color="auto" w:fill="FFFFFF"/>
          <w:lang w:val="en-US"/>
        </w:rPr>
        <w:t xml:space="preserve"> National Recovery and Resilience Plan (NRRP)</w:t>
      </w:r>
      <w:r w:rsidRPr="00F27F25">
        <w:rPr>
          <w:rFonts w:asciiTheme="minorBidi" w:hAnsiTheme="minorBidi"/>
          <w:lang w:val="en-US"/>
        </w:rPr>
        <w:t xml:space="preserve">, MCNT2-2023-12377336. Project title: Disease biosignatures in ALS/FTD spectrum: new impactful biological </w:t>
      </w:r>
      <w:r w:rsidR="00AD38D3" w:rsidRPr="00F27F25">
        <w:rPr>
          <w:rFonts w:asciiTheme="minorBidi" w:hAnsiTheme="minorBidi"/>
          <w:lang w:val="en-US"/>
        </w:rPr>
        <w:t>perspectives</w:t>
      </w:r>
      <w:r w:rsidRPr="00F27F25">
        <w:rPr>
          <w:rFonts w:asciiTheme="minorBidi" w:hAnsiTheme="minorBidi"/>
          <w:lang w:val="en-US"/>
        </w:rPr>
        <w:t xml:space="preserve"> beyond clinical approaches. </w:t>
      </w:r>
      <w:proofErr w:type="spellStart"/>
      <w:r w:rsidRPr="00131557">
        <w:rPr>
          <w:rFonts w:asciiTheme="minorBidi" w:hAnsiTheme="minorBidi"/>
        </w:rPr>
        <w:t>Timeframe</w:t>
      </w:r>
      <w:proofErr w:type="spellEnd"/>
      <w:r w:rsidRPr="00131557">
        <w:rPr>
          <w:rFonts w:asciiTheme="minorBidi" w:hAnsiTheme="minorBidi"/>
        </w:rPr>
        <w:t xml:space="preserve"> 24 </w:t>
      </w:r>
      <w:proofErr w:type="spellStart"/>
      <w:r w:rsidRPr="00131557">
        <w:rPr>
          <w:rFonts w:asciiTheme="minorBidi" w:hAnsiTheme="minorBidi"/>
        </w:rPr>
        <w:t>months</w:t>
      </w:r>
      <w:proofErr w:type="spellEnd"/>
      <w:r w:rsidRPr="00131557">
        <w:rPr>
          <w:rFonts w:asciiTheme="minorBidi" w:hAnsiTheme="minorBidi"/>
        </w:rPr>
        <w:t>.</w:t>
      </w:r>
    </w:p>
    <w:p w14:paraId="493DAAC7" w14:textId="77777777" w:rsidR="00A26406" w:rsidRPr="00131557" w:rsidRDefault="00A26406" w:rsidP="006E77F3">
      <w:pPr>
        <w:pBdr>
          <w:top w:val="single" w:sz="4" w:space="1" w:color="auto"/>
          <w:left w:val="single" w:sz="4" w:space="4" w:color="auto"/>
          <w:bottom w:val="single" w:sz="4" w:space="1" w:color="auto"/>
          <w:right w:val="single" w:sz="4" w:space="4" w:color="auto"/>
        </w:pBdr>
        <w:jc w:val="both"/>
        <w:rPr>
          <w:rFonts w:asciiTheme="minorBidi" w:hAnsiTheme="minorBidi"/>
        </w:rPr>
      </w:pPr>
    </w:p>
    <w:p w14:paraId="066DF4BB" w14:textId="5153614F" w:rsidR="00A26406" w:rsidRPr="00131557" w:rsidRDefault="00A26406" w:rsidP="006E77F3">
      <w:pPr>
        <w:pBdr>
          <w:top w:val="single" w:sz="4" w:space="1" w:color="auto"/>
          <w:left w:val="single" w:sz="4" w:space="4" w:color="auto"/>
          <w:bottom w:val="single" w:sz="4" w:space="1" w:color="auto"/>
          <w:right w:val="single" w:sz="4" w:space="4" w:color="auto"/>
        </w:pBdr>
        <w:jc w:val="both"/>
        <w:rPr>
          <w:rFonts w:asciiTheme="minorBidi" w:hAnsiTheme="minorBidi"/>
        </w:rPr>
      </w:pPr>
      <w:r w:rsidRPr="00F27F25">
        <w:rPr>
          <w:rFonts w:asciiTheme="minorBidi" w:hAnsiTheme="minorBidi"/>
        </w:rPr>
        <w:t xml:space="preserve">PON 03PE_00060_8, Sviluppo e valutazione preclinica e clinica di fase 0 e fase 1 di molecole ed azione nutraceutica, cosmeceutica, farmaceutica e nuove indicazioni terapeutiche per molecole già approvate. Campania Bioscience-Distretto ad Alta Tecnologia. </w:t>
      </w:r>
      <w:proofErr w:type="spellStart"/>
      <w:r w:rsidR="00F27F25" w:rsidRPr="00131557">
        <w:rPr>
          <w:rFonts w:asciiTheme="minorBidi" w:hAnsiTheme="minorBidi"/>
        </w:rPr>
        <w:t>Timeframe</w:t>
      </w:r>
      <w:proofErr w:type="spellEnd"/>
      <w:r w:rsidR="00F27F25" w:rsidRPr="00131557">
        <w:rPr>
          <w:rFonts w:asciiTheme="minorBidi" w:hAnsiTheme="minorBidi"/>
        </w:rPr>
        <w:t xml:space="preserve"> 36 </w:t>
      </w:r>
      <w:proofErr w:type="spellStart"/>
      <w:r w:rsidR="00F27F25" w:rsidRPr="00131557">
        <w:rPr>
          <w:rFonts w:asciiTheme="minorBidi" w:hAnsiTheme="minorBidi"/>
        </w:rPr>
        <w:t>months</w:t>
      </w:r>
      <w:proofErr w:type="spellEnd"/>
      <w:r w:rsidR="00F27F25" w:rsidRPr="00131557">
        <w:rPr>
          <w:rFonts w:asciiTheme="minorBidi" w:hAnsiTheme="minorBidi"/>
        </w:rPr>
        <w:t>.</w:t>
      </w:r>
    </w:p>
    <w:p w14:paraId="0064F625" w14:textId="3C4398A6" w:rsidR="00F27F25" w:rsidRPr="00131557" w:rsidRDefault="00F27F25" w:rsidP="006E77F3">
      <w:pPr>
        <w:pBdr>
          <w:top w:val="single" w:sz="4" w:space="1" w:color="auto"/>
          <w:left w:val="single" w:sz="4" w:space="4" w:color="auto"/>
          <w:bottom w:val="single" w:sz="4" w:space="1" w:color="auto"/>
          <w:right w:val="single" w:sz="4" w:space="4" w:color="auto"/>
        </w:pBdr>
        <w:jc w:val="both"/>
        <w:rPr>
          <w:rFonts w:asciiTheme="minorBidi" w:hAnsiTheme="minorBidi"/>
        </w:rPr>
      </w:pPr>
    </w:p>
    <w:p w14:paraId="2B6C124D" w14:textId="018057D8" w:rsidR="00F27F25" w:rsidRPr="00F27F25" w:rsidRDefault="00F27F25" w:rsidP="00F27F25">
      <w:pPr>
        <w:pBdr>
          <w:top w:val="single" w:sz="4" w:space="1" w:color="auto"/>
          <w:left w:val="single" w:sz="4" w:space="4" w:color="auto"/>
          <w:bottom w:val="single" w:sz="4" w:space="1" w:color="auto"/>
          <w:right w:val="single" w:sz="4" w:space="4" w:color="auto"/>
        </w:pBdr>
        <w:jc w:val="both"/>
        <w:rPr>
          <w:rFonts w:asciiTheme="minorBidi" w:hAnsiTheme="minorBidi"/>
          <w:lang w:val="en-US"/>
        </w:rPr>
      </w:pPr>
      <w:r w:rsidRPr="00131557">
        <w:rPr>
          <w:rFonts w:asciiTheme="minorBidi" w:hAnsiTheme="minorBidi"/>
        </w:rPr>
        <w:t>PRIN 2022 (</w:t>
      </w:r>
      <w:r w:rsidR="005A2D98" w:rsidRPr="00131557">
        <w:rPr>
          <w:rFonts w:asciiTheme="minorBidi" w:hAnsiTheme="minorBidi"/>
        </w:rPr>
        <w:t>NRRP</w:t>
      </w:r>
      <w:r w:rsidRPr="00131557">
        <w:rPr>
          <w:rFonts w:asciiTheme="minorBidi" w:hAnsiTheme="minorBidi"/>
        </w:rPr>
        <w:t>) Codice P2022XX57B</w:t>
      </w:r>
      <w:r w:rsidRPr="00131557">
        <w:rPr>
          <w:rFonts w:asciiTheme="minorBidi" w:hAnsiTheme="minorBidi"/>
          <w:b/>
          <w:bCs/>
        </w:rPr>
        <w:t xml:space="preserve"> </w:t>
      </w:r>
      <w:r w:rsidRPr="00131557">
        <w:rPr>
          <w:rFonts w:asciiTheme="minorBidi" w:hAnsiTheme="minorBidi"/>
        </w:rPr>
        <w:t>“</w:t>
      </w:r>
      <w:proofErr w:type="spellStart"/>
      <w:r w:rsidRPr="00131557">
        <w:rPr>
          <w:rFonts w:asciiTheme="minorBidi" w:hAnsiTheme="minorBidi"/>
        </w:rPr>
        <w:t>Assessing</w:t>
      </w:r>
      <w:proofErr w:type="spellEnd"/>
      <w:r w:rsidRPr="00131557">
        <w:rPr>
          <w:rFonts w:asciiTheme="minorBidi" w:hAnsiTheme="minorBidi"/>
        </w:rPr>
        <w:t xml:space="preserve"> the </w:t>
      </w:r>
      <w:proofErr w:type="spellStart"/>
      <w:r w:rsidRPr="00131557">
        <w:rPr>
          <w:rFonts w:asciiTheme="minorBidi" w:hAnsiTheme="minorBidi"/>
        </w:rPr>
        <w:t>role</w:t>
      </w:r>
      <w:proofErr w:type="spellEnd"/>
      <w:r w:rsidRPr="00131557">
        <w:rPr>
          <w:rFonts w:asciiTheme="minorBidi" w:hAnsiTheme="minorBidi"/>
        </w:rPr>
        <w:t xml:space="preserve"> of </w:t>
      </w:r>
      <w:proofErr w:type="spellStart"/>
      <w:r w:rsidRPr="00131557">
        <w:rPr>
          <w:rFonts w:asciiTheme="minorBidi" w:hAnsiTheme="minorBidi"/>
        </w:rPr>
        <w:t>chromosome</w:t>
      </w:r>
      <w:proofErr w:type="spellEnd"/>
      <w:r w:rsidRPr="00131557">
        <w:rPr>
          <w:rFonts w:asciiTheme="minorBidi" w:hAnsiTheme="minorBidi"/>
        </w:rPr>
        <w:t xml:space="preserve"> 21 </w:t>
      </w:r>
      <w:proofErr w:type="spellStart"/>
      <w:r w:rsidRPr="00131557">
        <w:rPr>
          <w:rFonts w:asciiTheme="minorBidi" w:hAnsiTheme="minorBidi"/>
        </w:rPr>
        <w:t>genes</w:t>
      </w:r>
      <w:proofErr w:type="spellEnd"/>
      <w:r w:rsidRPr="00131557">
        <w:rPr>
          <w:rFonts w:asciiTheme="minorBidi" w:hAnsiTheme="minorBidi"/>
        </w:rPr>
        <w:t xml:space="preserve"> in down </w:t>
      </w:r>
      <w:proofErr w:type="spellStart"/>
      <w:r w:rsidRPr="00131557">
        <w:rPr>
          <w:rFonts w:asciiTheme="minorBidi" w:hAnsiTheme="minorBidi"/>
        </w:rPr>
        <w:t>syndrome</w:t>
      </w:r>
      <w:proofErr w:type="spellEnd"/>
      <w:r w:rsidRPr="00131557">
        <w:rPr>
          <w:rFonts w:asciiTheme="minorBidi" w:hAnsiTheme="minorBidi"/>
        </w:rPr>
        <w:t xml:space="preserve"> </w:t>
      </w:r>
      <w:proofErr w:type="spellStart"/>
      <w:r w:rsidRPr="00131557">
        <w:rPr>
          <w:rFonts w:asciiTheme="minorBidi" w:hAnsiTheme="minorBidi"/>
        </w:rPr>
        <w:t>neuronal</w:t>
      </w:r>
      <w:proofErr w:type="spellEnd"/>
      <w:r w:rsidRPr="00131557">
        <w:rPr>
          <w:rFonts w:asciiTheme="minorBidi" w:hAnsiTheme="minorBidi"/>
        </w:rPr>
        <w:t xml:space="preserve"> </w:t>
      </w:r>
      <w:proofErr w:type="spellStart"/>
      <w:r w:rsidRPr="00131557">
        <w:rPr>
          <w:rFonts w:asciiTheme="minorBidi" w:hAnsiTheme="minorBidi"/>
        </w:rPr>
        <w:t>alterations</w:t>
      </w:r>
      <w:proofErr w:type="spellEnd"/>
      <w:r w:rsidRPr="00131557">
        <w:rPr>
          <w:rFonts w:asciiTheme="minorBidi" w:hAnsiTheme="minorBidi"/>
        </w:rPr>
        <w:t xml:space="preserve"> </w:t>
      </w:r>
      <w:proofErr w:type="spellStart"/>
      <w:r w:rsidRPr="00131557">
        <w:rPr>
          <w:rFonts w:asciiTheme="minorBidi" w:hAnsiTheme="minorBidi"/>
        </w:rPr>
        <w:t>through</w:t>
      </w:r>
      <w:proofErr w:type="spellEnd"/>
      <w:r w:rsidRPr="00131557">
        <w:rPr>
          <w:rFonts w:asciiTheme="minorBidi" w:hAnsiTheme="minorBidi"/>
        </w:rPr>
        <w:t xml:space="preserve"> </w:t>
      </w:r>
      <w:proofErr w:type="spellStart"/>
      <w:r w:rsidRPr="00131557">
        <w:rPr>
          <w:rFonts w:asciiTheme="minorBidi" w:hAnsiTheme="minorBidi"/>
        </w:rPr>
        <w:t>selective</w:t>
      </w:r>
      <w:proofErr w:type="spellEnd"/>
      <w:r w:rsidRPr="00131557">
        <w:rPr>
          <w:rFonts w:asciiTheme="minorBidi" w:hAnsiTheme="minorBidi"/>
        </w:rPr>
        <w:t xml:space="preserve"> </w:t>
      </w:r>
      <w:proofErr w:type="spellStart"/>
      <w:r w:rsidRPr="00131557">
        <w:rPr>
          <w:rFonts w:asciiTheme="minorBidi" w:hAnsiTheme="minorBidi"/>
        </w:rPr>
        <w:t>attenuation</w:t>
      </w:r>
      <w:proofErr w:type="spellEnd"/>
      <w:r w:rsidRPr="00131557">
        <w:rPr>
          <w:rFonts w:asciiTheme="minorBidi" w:hAnsiTheme="minorBidi"/>
        </w:rPr>
        <w:t xml:space="preserve"> of </w:t>
      </w:r>
      <w:proofErr w:type="spellStart"/>
      <w:r w:rsidRPr="00131557">
        <w:rPr>
          <w:rFonts w:asciiTheme="minorBidi" w:hAnsiTheme="minorBidi"/>
        </w:rPr>
        <w:t>their</w:t>
      </w:r>
      <w:proofErr w:type="spellEnd"/>
      <w:r w:rsidRPr="00131557">
        <w:rPr>
          <w:rFonts w:asciiTheme="minorBidi" w:hAnsiTheme="minorBidi"/>
        </w:rPr>
        <w:t xml:space="preserve"> </w:t>
      </w:r>
      <w:proofErr w:type="spellStart"/>
      <w:r w:rsidRPr="00131557">
        <w:rPr>
          <w:rFonts w:asciiTheme="minorBidi" w:hAnsiTheme="minorBidi"/>
        </w:rPr>
        <w:t>expression</w:t>
      </w:r>
      <w:proofErr w:type="spellEnd"/>
      <w:r w:rsidRPr="00131557">
        <w:rPr>
          <w:rFonts w:asciiTheme="minorBidi" w:hAnsiTheme="minorBidi"/>
        </w:rPr>
        <w:t>” Codice P2022XX57B.</w:t>
      </w:r>
      <w:r w:rsidRPr="00131557">
        <w:rPr>
          <w:rFonts w:asciiTheme="minorBidi" w:hAnsiTheme="minorBidi"/>
          <w:b/>
          <w:bCs/>
        </w:rPr>
        <w:t xml:space="preserve"> </w:t>
      </w:r>
      <w:r w:rsidRPr="00F27F25">
        <w:rPr>
          <w:rFonts w:asciiTheme="minorBidi" w:hAnsiTheme="minorBidi"/>
          <w:lang w:val="en-US"/>
        </w:rPr>
        <w:t>Timeframe 24 months.</w:t>
      </w:r>
    </w:p>
    <w:p w14:paraId="57AC7C64" w14:textId="64AB4713" w:rsidR="00A26406" w:rsidRPr="00F27F25" w:rsidRDefault="00A26406" w:rsidP="00A26406">
      <w:pPr>
        <w:pBdr>
          <w:top w:val="single" w:sz="4" w:space="1" w:color="auto"/>
          <w:left w:val="single" w:sz="4" w:space="4" w:color="auto"/>
          <w:bottom w:val="single" w:sz="4" w:space="1" w:color="auto"/>
          <w:right w:val="single" w:sz="4" w:space="4" w:color="auto"/>
        </w:pBdr>
        <w:jc w:val="both"/>
        <w:rPr>
          <w:rFonts w:asciiTheme="minorBidi" w:hAnsiTheme="minorBidi"/>
          <w:lang w:val="en-US"/>
        </w:rPr>
      </w:pPr>
    </w:p>
    <w:p w14:paraId="7E677424" w14:textId="77777777" w:rsidR="005310A5" w:rsidRPr="00D752D4" w:rsidRDefault="005310A5" w:rsidP="00D752D4">
      <w:pPr>
        <w:jc w:val="both"/>
        <w:rPr>
          <w:rFonts w:asciiTheme="minorBidi" w:hAnsiTheme="minorBidi"/>
          <w:lang w:val="en-US"/>
        </w:rPr>
      </w:pPr>
    </w:p>
    <w:p w14:paraId="4916F18C" w14:textId="77777777" w:rsidR="00FD54BF" w:rsidRPr="00D752D4" w:rsidRDefault="00FD54BF" w:rsidP="00D752D4">
      <w:pPr>
        <w:jc w:val="both"/>
        <w:rPr>
          <w:rFonts w:asciiTheme="minorBidi" w:hAnsiTheme="minorBidi"/>
          <w:lang w:val="en-US"/>
        </w:rPr>
      </w:pPr>
    </w:p>
    <w:sectPr w:rsidR="00FD54BF" w:rsidRPr="00D752D4"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B0528"/>
    <w:rsid w:val="000D6ACD"/>
    <w:rsid w:val="00131557"/>
    <w:rsid w:val="00131DC0"/>
    <w:rsid w:val="00141F4E"/>
    <w:rsid w:val="001A18A8"/>
    <w:rsid w:val="001E4185"/>
    <w:rsid w:val="00291CBF"/>
    <w:rsid w:val="002F4017"/>
    <w:rsid w:val="00361390"/>
    <w:rsid w:val="003A3C75"/>
    <w:rsid w:val="004076E2"/>
    <w:rsid w:val="0048185F"/>
    <w:rsid w:val="004A0B63"/>
    <w:rsid w:val="004E7623"/>
    <w:rsid w:val="005310A5"/>
    <w:rsid w:val="0056381B"/>
    <w:rsid w:val="005A2D98"/>
    <w:rsid w:val="005B5662"/>
    <w:rsid w:val="005E3DA9"/>
    <w:rsid w:val="005F7700"/>
    <w:rsid w:val="006E77F3"/>
    <w:rsid w:val="00726540"/>
    <w:rsid w:val="007F3344"/>
    <w:rsid w:val="008675AD"/>
    <w:rsid w:val="0087758B"/>
    <w:rsid w:val="00880BA1"/>
    <w:rsid w:val="008830F8"/>
    <w:rsid w:val="009879E9"/>
    <w:rsid w:val="009C3560"/>
    <w:rsid w:val="009F211E"/>
    <w:rsid w:val="00A06F2E"/>
    <w:rsid w:val="00A26406"/>
    <w:rsid w:val="00A27874"/>
    <w:rsid w:val="00A313A8"/>
    <w:rsid w:val="00A35A56"/>
    <w:rsid w:val="00A91C91"/>
    <w:rsid w:val="00AD38D3"/>
    <w:rsid w:val="00B0097C"/>
    <w:rsid w:val="00B1270D"/>
    <w:rsid w:val="00B20A2C"/>
    <w:rsid w:val="00B94CBD"/>
    <w:rsid w:val="00BA0C95"/>
    <w:rsid w:val="00C12D2B"/>
    <w:rsid w:val="00C32E7D"/>
    <w:rsid w:val="00D01742"/>
    <w:rsid w:val="00D359D2"/>
    <w:rsid w:val="00D405F3"/>
    <w:rsid w:val="00D4243D"/>
    <w:rsid w:val="00D752D4"/>
    <w:rsid w:val="00DB13C6"/>
    <w:rsid w:val="00E15D5E"/>
    <w:rsid w:val="00E95540"/>
    <w:rsid w:val="00EA525D"/>
    <w:rsid w:val="00F27F25"/>
    <w:rsid w:val="00F30C86"/>
    <w:rsid w:val="00F877D5"/>
    <w:rsid w:val="00F96FC6"/>
    <w:rsid w:val="00FC34B5"/>
    <w:rsid w:val="00FD54BF"/>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NormaleWeb">
    <w:name w:val="Normal (Web)"/>
    <w:basedOn w:val="Normale"/>
    <w:uiPriority w:val="99"/>
    <w:unhideWhenUsed/>
    <w:rsid w:val="00D752D4"/>
    <w:pPr>
      <w:spacing w:before="100" w:beforeAutospacing="1" w:after="100" w:afterAutospacing="1"/>
    </w:pPr>
    <w:rPr>
      <w:rFonts w:ascii="Times New Roman" w:eastAsia="Times New Roman" w:hAnsi="Times New Roman" w:cs="Times New Roman"/>
      <w:kern w:val="0"/>
      <w:lang w:eastAsia="zh-CN"/>
      <w14:ligatures w14:val="none"/>
    </w:rPr>
  </w:style>
  <w:style w:type="paragraph" w:styleId="Testofumetto">
    <w:name w:val="Balloon Text"/>
    <w:basedOn w:val="Normale"/>
    <w:link w:val="TestofumettoCarattere"/>
    <w:uiPriority w:val="99"/>
    <w:semiHidden/>
    <w:unhideWhenUsed/>
    <w:rsid w:val="0048185F"/>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48185F"/>
    <w:rPr>
      <w:rFonts w:ascii="Times New Roman" w:hAnsi="Times New Roman" w:cs="Times New Roman"/>
      <w:sz w:val="18"/>
      <w:szCs w:val="18"/>
    </w:rPr>
  </w:style>
  <w:style w:type="character" w:styleId="Collegamentoipertestuale">
    <w:name w:val="Hyperlink"/>
    <w:basedOn w:val="Carpredefinitoparagrafo"/>
    <w:uiPriority w:val="99"/>
    <w:unhideWhenUsed/>
    <w:rsid w:val="005B5662"/>
    <w:rPr>
      <w:color w:val="467886" w:themeColor="hyperlink"/>
      <w:u w:val="single"/>
    </w:rPr>
  </w:style>
  <w:style w:type="character" w:styleId="Menzionenonrisolta">
    <w:name w:val="Unresolved Mention"/>
    <w:basedOn w:val="Carpredefinitoparagrafo"/>
    <w:uiPriority w:val="99"/>
    <w:rsid w:val="005B5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978960">
      <w:bodyDiv w:val="1"/>
      <w:marLeft w:val="0"/>
      <w:marRight w:val="0"/>
      <w:marTop w:val="0"/>
      <w:marBottom w:val="0"/>
      <w:divBdr>
        <w:top w:val="none" w:sz="0" w:space="0" w:color="auto"/>
        <w:left w:val="none" w:sz="0" w:space="0" w:color="auto"/>
        <w:bottom w:val="none" w:sz="0" w:space="0" w:color="auto"/>
        <w:right w:val="none" w:sz="0" w:space="0" w:color="auto"/>
      </w:divBdr>
      <w:divsChild>
        <w:div w:id="1465149431">
          <w:marLeft w:val="0"/>
          <w:marRight w:val="0"/>
          <w:marTop w:val="0"/>
          <w:marBottom w:val="0"/>
          <w:divBdr>
            <w:top w:val="none" w:sz="0" w:space="0" w:color="auto"/>
            <w:left w:val="none" w:sz="0" w:space="0" w:color="auto"/>
            <w:bottom w:val="none" w:sz="0" w:space="0" w:color="auto"/>
            <w:right w:val="none" w:sz="0" w:space="0" w:color="auto"/>
          </w:divBdr>
        </w:div>
      </w:divsChild>
    </w:div>
    <w:div w:id="373117222">
      <w:bodyDiv w:val="1"/>
      <w:marLeft w:val="0"/>
      <w:marRight w:val="0"/>
      <w:marTop w:val="0"/>
      <w:marBottom w:val="0"/>
      <w:divBdr>
        <w:top w:val="none" w:sz="0" w:space="0" w:color="auto"/>
        <w:left w:val="none" w:sz="0" w:space="0" w:color="auto"/>
        <w:bottom w:val="none" w:sz="0" w:space="0" w:color="auto"/>
        <w:right w:val="none" w:sz="0" w:space="0" w:color="auto"/>
      </w:divBdr>
      <w:divsChild>
        <w:div w:id="1636444861">
          <w:marLeft w:val="0"/>
          <w:marRight w:val="0"/>
          <w:marTop w:val="0"/>
          <w:marBottom w:val="0"/>
          <w:divBdr>
            <w:top w:val="none" w:sz="0" w:space="0" w:color="auto"/>
            <w:left w:val="none" w:sz="0" w:space="0" w:color="auto"/>
            <w:bottom w:val="none" w:sz="0" w:space="0" w:color="auto"/>
            <w:right w:val="none" w:sz="0" w:space="0" w:color="auto"/>
          </w:divBdr>
        </w:div>
      </w:divsChild>
    </w:div>
    <w:div w:id="557514923">
      <w:bodyDiv w:val="1"/>
      <w:marLeft w:val="0"/>
      <w:marRight w:val="0"/>
      <w:marTop w:val="0"/>
      <w:marBottom w:val="0"/>
      <w:divBdr>
        <w:top w:val="none" w:sz="0" w:space="0" w:color="auto"/>
        <w:left w:val="none" w:sz="0" w:space="0" w:color="auto"/>
        <w:bottom w:val="none" w:sz="0" w:space="0" w:color="auto"/>
        <w:right w:val="none" w:sz="0" w:space="0" w:color="auto"/>
      </w:divBdr>
      <w:divsChild>
        <w:div w:id="651711965">
          <w:marLeft w:val="0"/>
          <w:marRight w:val="0"/>
          <w:marTop w:val="0"/>
          <w:marBottom w:val="0"/>
          <w:divBdr>
            <w:top w:val="none" w:sz="0" w:space="0" w:color="auto"/>
            <w:left w:val="none" w:sz="0" w:space="0" w:color="auto"/>
            <w:bottom w:val="none" w:sz="0" w:space="0" w:color="auto"/>
            <w:right w:val="none" w:sz="0" w:space="0" w:color="auto"/>
          </w:divBdr>
        </w:div>
      </w:divsChild>
    </w:div>
    <w:div w:id="919215978">
      <w:bodyDiv w:val="1"/>
      <w:marLeft w:val="0"/>
      <w:marRight w:val="0"/>
      <w:marTop w:val="0"/>
      <w:marBottom w:val="0"/>
      <w:divBdr>
        <w:top w:val="none" w:sz="0" w:space="0" w:color="auto"/>
        <w:left w:val="none" w:sz="0" w:space="0" w:color="auto"/>
        <w:bottom w:val="none" w:sz="0" w:space="0" w:color="auto"/>
        <w:right w:val="none" w:sz="0" w:space="0" w:color="auto"/>
      </w:divBdr>
      <w:divsChild>
        <w:div w:id="728113769">
          <w:marLeft w:val="0"/>
          <w:marRight w:val="0"/>
          <w:marTop w:val="0"/>
          <w:marBottom w:val="0"/>
          <w:divBdr>
            <w:top w:val="none" w:sz="0" w:space="0" w:color="auto"/>
            <w:left w:val="none" w:sz="0" w:space="0" w:color="auto"/>
            <w:bottom w:val="none" w:sz="0" w:space="0" w:color="auto"/>
            <w:right w:val="none" w:sz="0" w:space="0" w:color="auto"/>
          </w:divBdr>
        </w:div>
      </w:divsChild>
    </w:div>
    <w:div w:id="1139614945">
      <w:bodyDiv w:val="1"/>
      <w:marLeft w:val="0"/>
      <w:marRight w:val="0"/>
      <w:marTop w:val="0"/>
      <w:marBottom w:val="0"/>
      <w:divBdr>
        <w:top w:val="none" w:sz="0" w:space="0" w:color="auto"/>
        <w:left w:val="none" w:sz="0" w:space="0" w:color="auto"/>
        <w:bottom w:val="none" w:sz="0" w:space="0" w:color="auto"/>
        <w:right w:val="none" w:sz="0" w:space="0" w:color="auto"/>
      </w:divBdr>
      <w:divsChild>
        <w:div w:id="1240214529">
          <w:marLeft w:val="0"/>
          <w:marRight w:val="0"/>
          <w:marTop w:val="0"/>
          <w:marBottom w:val="0"/>
          <w:divBdr>
            <w:top w:val="none" w:sz="0" w:space="0" w:color="auto"/>
            <w:left w:val="none" w:sz="0" w:space="0" w:color="auto"/>
            <w:bottom w:val="none" w:sz="0" w:space="0" w:color="auto"/>
            <w:right w:val="none" w:sz="0" w:space="0" w:color="auto"/>
          </w:divBdr>
        </w:div>
      </w:divsChild>
    </w:div>
    <w:div w:id="1189609993">
      <w:bodyDiv w:val="1"/>
      <w:marLeft w:val="0"/>
      <w:marRight w:val="0"/>
      <w:marTop w:val="0"/>
      <w:marBottom w:val="0"/>
      <w:divBdr>
        <w:top w:val="none" w:sz="0" w:space="0" w:color="auto"/>
        <w:left w:val="none" w:sz="0" w:space="0" w:color="auto"/>
        <w:bottom w:val="none" w:sz="0" w:space="0" w:color="auto"/>
        <w:right w:val="none" w:sz="0" w:space="0" w:color="auto"/>
      </w:divBdr>
      <w:divsChild>
        <w:div w:id="1054160034">
          <w:marLeft w:val="0"/>
          <w:marRight w:val="0"/>
          <w:marTop w:val="0"/>
          <w:marBottom w:val="0"/>
          <w:divBdr>
            <w:top w:val="none" w:sz="0" w:space="0" w:color="auto"/>
            <w:left w:val="none" w:sz="0" w:space="0" w:color="auto"/>
            <w:bottom w:val="none" w:sz="0" w:space="0" w:color="auto"/>
            <w:right w:val="none" w:sz="0" w:space="0" w:color="auto"/>
          </w:divBdr>
        </w:div>
      </w:divsChild>
    </w:div>
    <w:div w:id="1523856797">
      <w:bodyDiv w:val="1"/>
      <w:marLeft w:val="0"/>
      <w:marRight w:val="0"/>
      <w:marTop w:val="0"/>
      <w:marBottom w:val="0"/>
      <w:divBdr>
        <w:top w:val="none" w:sz="0" w:space="0" w:color="auto"/>
        <w:left w:val="none" w:sz="0" w:space="0" w:color="auto"/>
        <w:bottom w:val="none" w:sz="0" w:space="0" w:color="auto"/>
        <w:right w:val="none" w:sz="0" w:space="0" w:color="auto"/>
      </w:divBdr>
      <w:divsChild>
        <w:div w:id="278799011">
          <w:marLeft w:val="0"/>
          <w:marRight w:val="0"/>
          <w:marTop w:val="0"/>
          <w:marBottom w:val="0"/>
          <w:divBdr>
            <w:top w:val="none" w:sz="0" w:space="0" w:color="auto"/>
            <w:left w:val="none" w:sz="0" w:space="0" w:color="auto"/>
            <w:bottom w:val="none" w:sz="0" w:space="0" w:color="auto"/>
            <w:right w:val="none" w:sz="0" w:space="0" w:color="auto"/>
          </w:divBdr>
        </w:div>
      </w:divsChild>
    </w:div>
    <w:div w:id="1580823570">
      <w:bodyDiv w:val="1"/>
      <w:marLeft w:val="0"/>
      <w:marRight w:val="0"/>
      <w:marTop w:val="0"/>
      <w:marBottom w:val="0"/>
      <w:divBdr>
        <w:top w:val="none" w:sz="0" w:space="0" w:color="auto"/>
        <w:left w:val="none" w:sz="0" w:space="0" w:color="auto"/>
        <w:bottom w:val="none" w:sz="0" w:space="0" w:color="auto"/>
        <w:right w:val="none" w:sz="0" w:space="0" w:color="auto"/>
      </w:divBdr>
      <w:divsChild>
        <w:div w:id="1172993038">
          <w:marLeft w:val="0"/>
          <w:marRight w:val="0"/>
          <w:marTop w:val="0"/>
          <w:marBottom w:val="0"/>
          <w:divBdr>
            <w:top w:val="none" w:sz="0" w:space="0" w:color="auto"/>
            <w:left w:val="none" w:sz="0" w:space="0" w:color="auto"/>
            <w:bottom w:val="none" w:sz="0" w:space="0" w:color="auto"/>
            <w:right w:val="none" w:sz="0" w:space="0" w:color="auto"/>
          </w:divBdr>
        </w:div>
      </w:divsChild>
    </w:div>
    <w:div w:id="1612977406">
      <w:bodyDiv w:val="1"/>
      <w:marLeft w:val="0"/>
      <w:marRight w:val="0"/>
      <w:marTop w:val="0"/>
      <w:marBottom w:val="0"/>
      <w:divBdr>
        <w:top w:val="none" w:sz="0" w:space="0" w:color="auto"/>
        <w:left w:val="none" w:sz="0" w:space="0" w:color="auto"/>
        <w:bottom w:val="none" w:sz="0" w:space="0" w:color="auto"/>
        <w:right w:val="none" w:sz="0" w:space="0" w:color="auto"/>
      </w:divBdr>
      <w:divsChild>
        <w:div w:id="1573420493">
          <w:marLeft w:val="0"/>
          <w:marRight w:val="0"/>
          <w:marTop w:val="0"/>
          <w:marBottom w:val="0"/>
          <w:divBdr>
            <w:top w:val="none" w:sz="0" w:space="0" w:color="auto"/>
            <w:left w:val="none" w:sz="0" w:space="0" w:color="auto"/>
            <w:bottom w:val="none" w:sz="0" w:space="0" w:color="auto"/>
            <w:right w:val="none" w:sz="0" w:space="0" w:color="auto"/>
          </w:divBdr>
        </w:div>
      </w:divsChild>
    </w:div>
    <w:div w:id="1770152504">
      <w:bodyDiv w:val="1"/>
      <w:marLeft w:val="0"/>
      <w:marRight w:val="0"/>
      <w:marTop w:val="0"/>
      <w:marBottom w:val="0"/>
      <w:divBdr>
        <w:top w:val="none" w:sz="0" w:space="0" w:color="auto"/>
        <w:left w:val="none" w:sz="0" w:space="0" w:color="auto"/>
        <w:bottom w:val="none" w:sz="0" w:space="0" w:color="auto"/>
        <w:right w:val="none" w:sz="0" w:space="0" w:color="auto"/>
      </w:divBdr>
      <w:divsChild>
        <w:div w:id="2096244691">
          <w:marLeft w:val="0"/>
          <w:marRight w:val="0"/>
          <w:marTop w:val="0"/>
          <w:marBottom w:val="0"/>
          <w:divBdr>
            <w:top w:val="none" w:sz="0" w:space="0" w:color="auto"/>
            <w:left w:val="none" w:sz="0" w:space="0" w:color="auto"/>
            <w:bottom w:val="none" w:sz="0" w:space="0" w:color="auto"/>
            <w:right w:val="none" w:sz="0" w:space="0" w:color="auto"/>
          </w:divBdr>
        </w:div>
      </w:divsChild>
    </w:div>
    <w:div w:id="1936013819">
      <w:bodyDiv w:val="1"/>
      <w:marLeft w:val="0"/>
      <w:marRight w:val="0"/>
      <w:marTop w:val="0"/>
      <w:marBottom w:val="0"/>
      <w:divBdr>
        <w:top w:val="none" w:sz="0" w:space="0" w:color="auto"/>
        <w:left w:val="none" w:sz="0" w:space="0" w:color="auto"/>
        <w:bottom w:val="none" w:sz="0" w:space="0" w:color="auto"/>
        <w:right w:val="none" w:sz="0" w:space="0" w:color="auto"/>
      </w:divBdr>
      <w:divsChild>
        <w:div w:id="985164086">
          <w:marLeft w:val="0"/>
          <w:marRight w:val="0"/>
          <w:marTop w:val="0"/>
          <w:marBottom w:val="0"/>
          <w:divBdr>
            <w:top w:val="none" w:sz="0" w:space="0" w:color="auto"/>
            <w:left w:val="none" w:sz="0" w:space="0" w:color="auto"/>
            <w:bottom w:val="none" w:sz="0" w:space="0" w:color="auto"/>
            <w:right w:val="none" w:sz="0" w:space="0" w:color="auto"/>
          </w:divBdr>
        </w:div>
      </w:divsChild>
    </w:div>
    <w:div w:id="2011447616">
      <w:bodyDiv w:val="1"/>
      <w:marLeft w:val="0"/>
      <w:marRight w:val="0"/>
      <w:marTop w:val="0"/>
      <w:marBottom w:val="0"/>
      <w:divBdr>
        <w:top w:val="none" w:sz="0" w:space="0" w:color="auto"/>
        <w:left w:val="none" w:sz="0" w:space="0" w:color="auto"/>
        <w:bottom w:val="none" w:sz="0" w:space="0" w:color="auto"/>
        <w:right w:val="none" w:sz="0" w:space="0" w:color="auto"/>
      </w:divBdr>
      <w:divsChild>
        <w:div w:id="97937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4218</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2025-11-11T13:37:00Z</dcterms:created>
  <dcterms:modified xsi:type="dcterms:W3CDTF">2025-11-11T13:37:00Z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