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B70D5" w14:textId="190C3B9B" w:rsidR="00FD54BF" w:rsidRPr="0087758B" w:rsidRDefault="009F211E">
      <w:pPr>
        <w:rPr>
          <w:rFonts w:ascii="Arial" w:hAnsi="Arial" w:cs="Arial"/>
          <w:b/>
          <w:bCs/>
        </w:rPr>
      </w:pPr>
      <w:r w:rsidRPr="0087758B">
        <w:rPr>
          <w:rFonts w:ascii="Arial" w:hAnsi="Arial" w:cs="Arial"/>
          <w:b/>
          <w:bCs/>
        </w:rPr>
        <w:t xml:space="preserve">PI </w:t>
      </w:r>
    </w:p>
    <w:p w14:paraId="4497EA79" w14:textId="2EDDB785" w:rsidR="00FD54BF" w:rsidRPr="009F211E" w:rsidRDefault="003B2D20" w:rsidP="00FD54BF">
      <w:pPr>
        <w:pBdr>
          <w:top w:val="single" w:sz="4" w:space="1" w:color="auto"/>
          <w:left w:val="single" w:sz="4" w:space="4" w:color="auto"/>
          <w:bottom w:val="single" w:sz="4" w:space="1" w:color="auto"/>
          <w:right w:val="single" w:sz="4" w:space="4" w:color="auto"/>
        </w:pBdr>
        <w:rPr>
          <w:rFonts w:ascii="Arial" w:hAnsi="Arial" w:cs="Arial"/>
        </w:rPr>
      </w:pPr>
      <w:hyperlink r:id="rId4" w:anchor="!/professor/414e544f4e454c4c41495a5a4f5a5a494e4e4c38334c3438483730334a/riferimenti" w:history="1">
        <w:r w:rsidRPr="0078474D">
          <w:rPr>
            <w:rStyle w:val="Collegamentoipertestuale"/>
            <w:rFonts w:ascii="Arial" w:hAnsi="Arial" w:cs="Arial"/>
          </w:rPr>
          <w:t>ANTONELLA IZZO</w:t>
        </w:r>
      </w:hyperlink>
      <w:r w:rsidR="0078474D">
        <w:rPr>
          <w:rFonts w:ascii="Arial" w:hAnsi="Arial" w:cs="Arial"/>
        </w:rPr>
        <w:t>, RTD</w:t>
      </w:r>
    </w:p>
    <w:p w14:paraId="2FA46921" w14:textId="77777777" w:rsidR="00FD54BF" w:rsidRPr="009F211E" w:rsidRDefault="00FD54BF">
      <w:pPr>
        <w:rPr>
          <w:rFonts w:ascii="Arial" w:hAnsi="Arial" w:cs="Arial"/>
        </w:rPr>
      </w:pPr>
    </w:p>
    <w:p w14:paraId="30797954" w14:textId="617A8C8A" w:rsidR="00FD54BF" w:rsidRPr="009F211E" w:rsidRDefault="009F211E">
      <w:pPr>
        <w:rPr>
          <w:rFonts w:ascii="Arial" w:hAnsi="Arial" w:cs="Arial"/>
        </w:rPr>
      </w:pPr>
      <w:r w:rsidRPr="0087758B">
        <w:rPr>
          <w:rFonts w:ascii="Arial" w:hAnsi="Arial" w:cs="Arial"/>
          <w:b/>
          <w:bCs/>
        </w:rPr>
        <w:t>GROUP</w:t>
      </w:r>
    </w:p>
    <w:p w14:paraId="74D67FFF" w14:textId="084C3394" w:rsidR="00FD54BF" w:rsidRPr="009F211E" w:rsidRDefault="003B2D20" w:rsidP="00FD54BF">
      <w:pPr>
        <w:pBdr>
          <w:top w:val="single" w:sz="4" w:space="1" w:color="auto"/>
          <w:left w:val="single" w:sz="4" w:space="4" w:color="auto"/>
          <w:bottom w:val="single" w:sz="4" w:space="1" w:color="auto"/>
          <w:right w:val="single" w:sz="4" w:space="4" w:color="auto"/>
        </w:pBdr>
        <w:rPr>
          <w:rFonts w:ascii="Arial" w:hAnsi="Arial" w:cs="Arial"/>
        </w:rPr>
      </w:pPr>
      <w:r w:rsidRPr="00573C15">
        <w:rPr>
          <w:rFonts w:ascii="Arial" w:hAnsi="Arial" w:cs="Arial"/>
        </w:rPr>
        <w:t>ROSALBA NATALE</w:t>
      </w:r>
      <w:r w:rsidR="0078474D" w:rsidRPr="00573C15">
        <w:rPr>
          <w:rFonts w:ascii="Arial" w:hAnsi="Arial" w:cs="Arial"/>
        </w:rPr>
        <w:t>, Research fellow</w:t>
      </w:r>
    </w:p>
    <w:p w14:paraId="2417F220" w14:textId="77777777" w:rsidR="00053C76" w:rsidRDefault="00053C76" w:rsidP="00053C76">
      <w:pPr>
        <w:rPr>
          <w:rFonts w:ascii="Arial" w:hAnsi="Arial" w:cs="Arial"/>
        </w:rPr>
      </w:pPr>
    </w:p>
    <w:p w14:paraId="59BDA3FB" w14:textId="089AC41F" w:rsidR="00053C76" w:rsidRPr="0087758B" w:rsidRDefault="00053C76" w:rsidP="00053C76">
      <w:pPr>
        <w:rPr>
          <w:rFonts w:ascii="Arial" w:hAnsi="Arial" w:cs="Arial"/>
          <w:b/>
          <w:bCs/>
        </w:rPr>
      </w:pPr>
      <w:r w:rsidRPr="0087758B">
        <w:rPr>
          <w:rFonts w:ascii="Arial" w:hAnsi="Arial" w:cs="Arial"/>
          <w:b/>
          <w:bCs/>
        </w:rPr>
        <w:t>RESEARCH FIELD</w:t>
      </w:r>
    </w:p>
    <w:p w14:paraId="0E4EAD99" w14:textId="522A08E7" w:rsidR="00053C76" w:rsidRPr="009F211E" w:rsidRDefault="003B2D20" w:rsidP="00053C76">
      <w:pPr>
        <w:pBdr>
          <w:top w:val="single" w:sz="4" w:space="1" w:color="auto"/>
          <w:left w:val="single" w:sz="4" w:space="4" w:color="auto"/>
          <w:bottom w:val="single" w:sz="4" w:space="1" w:color="auto"/>
          <w:right w:val="single" w:sz="4" w:space="4" w:color="auto"/>
        </w:pBdr>
        <w:rPr>
          <w:rFonts w:ascii="Arial" w:hAnsi="Arial" w:cs="Arial"/>
        </w:rPr>
      </w:pPr>
      <w:r w:rsidRPr="00573C15">
        <w:rPr>
          <w:rFonts w:ascii="Arial" w:hAnsi="Arial" w:cs="Arial"/>
        </w:rPr>
        <w:t xml:space="preserve">Cell biology </w:t>
      </w:r>
      <w:r w:rsidR="0078474D" w:rsidRPr="00573C15">
        <w:rPr>
          <w:rFonts w:ascii="Arial" w:hAnsi="Arial" w:cs="Arial"/>
        </w:rPr>
        <w:t>of Down Syndrome</w:t>
      </w:r>
    </w:p>
    <w:p w14:paraId="0A366C3B" w14:textId="77777777" w:rsidR="00F877D5" w:rsidRPr="009F211E" w:rsidRDefault="00F877D5" w:rsidP="00F877D5">
      <w:pPr>
        <w:rPr>
          <w:rFonts w:ascii="Arial" w:hAnsi="Arial" w:cs="Arial"/>
        </w:rPr>
      </w:pPr>
    </w:p>
    <w:p w14:paraId="31461A76" w14:textId="5BF539A9" w:rsidR="00F877D5" w:rsidRPr="009F211E" w:rsidRDefault="00F877D5" w:rsidP="00F877D5">
      <w:pPr>
        <w:rPr>
          <w:rFonts w:ascii="Arial" w:hAnsi="Arial" w:cs="Arial"/>
        </w:rPr>
      </w:pPr>
      <w:r w:rsidRPr="0087758B">
        <w:rPr>
          <w:rFonts w:ascii="Arial" w:hAnsi="Arial" w:cs="Arial"/>
          <w:b/>
          <w:bCs/>
        </w:rPr>
        <w:t>KEYWORDS</w:t>
      </w:r>
      <w:r w:rsidRPr="009F211E">
        <w:rPr>
          <w:rFonts w:ascii="Arial" w:hAnsi="Arial" w:cs="Arial"/>
        </w:rPr>
        <w:t xml:space="preserve"> </w:t>
      </w:r>
    </w:p>
    <w:p w14:paraId="532A94C1" w14:textId="05575B4A" w:rsidR="00F877D5" w:rsidRPr="009F211E" w:rsidRDefault="003B2D20" w:rsidP="00F877D5">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Down syndrome, mitochondria, iPSC, Neural cortical cells, CRISPR/Cas9</w:t>
      </w:r>
    </w:p>
    <w:p w14:paraId="68F83D14" w14:textId="77777777" w:rsidR="00FD54BF" w:rsidRPr="009F211E" w:rsidRDefault="00FD54BF">
      <w:pPr>
        <w:rPr>
          <w:rFonts w:ascii="Arial" w:hAnsi="Arial" w:cs="Arial"/>
        </w:rPr>
      </w:pPr>
    </w:p>
    <w:p w14:paraId="3BBC079D" w14:textId="0355DF48" w:rsidR="00FD54BF" w:rsidRPr="009F211E" w:rsidRDefault="00FD54BF">
      <w:pPr>
        <w:rPr>
          <w:rFonts w:ascii="Arial" w:hAnsi="Arial" w:cs="Arial"/>
        </w:rPr>
      </w:pPr>
      <w:r w:rsidRPr="0087758B">
        <w:rPr>
          <w:rFonts w:ascii="Arial" w:hAnsi="Arial" w:cs="Arial"/>
          <w:b/>
          <w:bCs/>
        </w:rPr>
        <w:t>ABSTRACT</w:t>
      </w:r>
      <w:r w:rsidRPr="009F211E">
        <w:rPr>
          <w:rFonts w:ascii="Arial" w:hAnsi="Arial" w:cs="Arial"/>
        </w:rPr>
        <w:t xml:space="preserve"> </w:t>
      </w:r>
    </w:p>
    <w:p w14:paraId="5C12F0BF" w14:textId="77777777" w:rsidR="002551F4" w:rsidRPr="002551F4" w:rsidRDefault="002551F4" w:rsidP="002551F4">
      <w:pPr>
        <w:pBdr>
          <w:top w:val="single" w:sz="4" w:space="1" w:color="auto"/>
          <w:left w:val="single" w:sz="4" w:space="4" w:color="auto"/>
          <w:bottom w:val="single" w:sz="4" w:space="1" w:color="auto"/>
          <w:right w:val="single" w:sz="4" w:space="4" w:color="auto"/>
        </w:pBdr>
        <w:rPr>
          <w:rFonts w:ascii="Arial" w:hAnsi="Arial" w:cs="Arial"/>
        </w:rPr>
      </w:pPr>
      <w:r w:rsidRPr="002551F4">
        <w:rPr>
          <w:rFonts w:ascii="Arial" w:hAnsi="Arial" w:cs="Arial"/>
        </w:rPr>
        <w:t>Our research focuses on the development and application of a versatile, high-resolution experimental platform based on human induced pluripotent stem cells (iPSCs) trisomic for chromosome 21 and engineered to express Cas9 under the control of an inducible promoter. This platform allows for precise, temporally controlled genome editing to investigate the function of genes and gene regions on chromosome 21, which, when present in three copies, are responsible for the phenotypes associated with Down syndrome (DS).</w:t>
      </w:r>
    </w:p>
    <w:p w14:paraId="5DAAA39B" w14:textId="77777777" w:rsidR="002551F4" w:rsidRPr="002551F4" w:rsidRDefault="002551F4" w:rsidP="002551F4">
      <w:pPr>
        <w:pBdr>
          <w:top w:val="single" w:sz="4" w:space="1" w:color="auto"/>
          <w:left w:val="single" w:sz="4" w:space="4" w:color="auto"/>
          <w:bottom w:val="single" w:sz="4" w:space="1" w:color="auto"/>
          <w:right w:val="single" w:sz="4" w:space="4" w:color="auto"/>
        </w:pBdr>
        <w:rPr>
          <w:rFonts w:ascii="Arial" w:hAnsi="Arial" w:cs="Arial"/>
        </w:rPr>
      </w:pPr>
      <w:r w:rsidRPr="002551F4">
        <w:rPr>
          <w:rFonts w:ascii="Arial" w:hAnsi="Arial" w:cs="Arial"/>
        </w:rPr>
        <w:t>A key innovation of our approach lies in its allele specificity: through the identification of naturally occurring single-nucleotide polymorphisms (SNPs) that affect CRISPR targeting, we are able to selectively silence a gene on only one of the three HSA21 alleles. This enables us to mimic a return to functional disomy in trisomic cells without disturbing the disomic baseline shared with typical individuals. In combination with inducibility, our system provides unique access to a critical question in neurodevelopmental and therapeutic research: are the effects of gene dosage reversible once differentiation has occurred?</w:t>
      </w:r>
    </w:p>
    <w:p w14:paraId="76536871" w14:textId="77777777" w:rsidR="002551F4" w:rsidRPr="002551F4" w:rsidRDefault="002551F4" w:rsidP="002551F4">
      <w:pPr>
        <w:pBdr>
          <w:top w:val="single" w:sz="4" w:space="1" w:color="auto"/>
          <w:left w:val="single" w:sz="4" w:space="4" w:color="auto"/>
          <w:bottom w:val="single" w:sz="4" w:space="1" w:color="auto"/>
          <w:right w:val="single" w:sz="4" w:space="4" w:color="auto"/>
        </w:pBdr>
        <w:rPr>
          <w:rFonts w:ascii="Arial" w:hAnsi="Arial" w:cs="Arial"/>
        </w:rPr>
      </w:pPr>
      <w:r w:rsidRPr="002551F4">
        <w:rPr>
          <w:rFonts w:ascii="Arial" w:hAnsi="Arial" w:cs="Arial"/>
        </w:rPr>
        <w:t>Our initial phenotypic readout is based on neuronal differentiation, a process known to be disrupted in DS and tightly linked to intellectual disability. Using well-characterized protocols, we can quantify changes in mitochondrial function, synaptic density, neurite architecture, and cell-type specification in isogenic edited and non-edited cells. These assays enable the identification of genes or genomic regions whose overexpression contributes to early neurodevelopmental phenotypes.</w:t>
      </w:r>
    </w:p>
    <w:p w14:paraId="78DAAFE8" w14:textId="77777777" w:rsidR="002551F4" w:rsidRPr="002551F4" w:rsidRDefault="002551F4" w:rsidP="002551F4">
      <w:pPr>
        <w:pBdr>
          <w:top w:val="single" w:sz="4" w:space="1" w:color="auto"/>
          <w:left w:val="single" w:sz="4" w:space="4" w:color="auto"/>
          <w:bottom w:val="single" w:sz="4" w:space="1" w:color="auto"/>
          <w:right w:val="single" w:sz="4" w:space="4" w:color="auto"/>
        </w:pBdr>
        <w:rPr>
          <w:rFonts w:ascii="Arial" w:hAnsi="Arial" w:cs="Arial"/>
        </w:rPr>
      </w:pPr>
      <w:r w:rsidRPr="002551F4">
        <w:rPr>
          <w:rFonts w:ascii="Arial" w:hAnsi="Arial" w:cs="Arial"/>
        </w:rPr>
        <w:t>However, the applicability of our platform extends well beyond the study of cortical neurons. Because iPSCs can be differentiated into a wide array of cell types—including astrocytes, oligodendrocytes, endothelial cells, and immune lineage cells—our system provides an unprecedented opportunity to explore the role of chromosome 21 genes in multiple tissues relevant to DS pathogenesis and beyond. For example, the marked reduction in solid tumors in DS and the increased risk of early-onset Alzheimer’s disease highlight the pleiotropic effects of trisomy 21 gene dosage and its relevance to cancer biology, neurodegeneration, and immunology.</w:t>
      </w:r>
    </w:p>
    <w:p w14:paraId="7ED61725" w14:textId="789B5708" w:rsidR="00F877D5" w:rsidRPr="009F211E" w:rsidRDefault="002551F4" w:rsidP="002551F4">
      <w:pPr>
        <w:pBdr>
          <w:top w:val="single" w:sz="4" w:space="1" w:color="auto"/>
          <w:left w:val="single" w:sz="4" w:space="4" w:color="auto"/>
          <w:bottom w:val="single" w:sz="4" w:space="1" w:color="auto"/>
          <w:right w:val="single" w:sz="4" w:space="4" w:color="auto"/>
        </w:pBdr>
        <w:rPr>
          <w:rFonts w:ascii="Arial" w:hAnsi="Arial" w:cs="Arial"/>
        </w:rPr>
      </w:pPr>
      <w:r w:rsidRPr="002551F4">
        <w:rPr>
          <w:rFonts w:ascii="Arial" w:hAnsi="Arial" w:cs="Arial"/>
        </w:rPr>
        <w:t>Ultimately, by integrating allele-specific, inducible genome editing with multiparametric phenotypic readouts and transcriptomic profiling, our platform enables the systematic dissection of gene function on chromosome 21. It is a tool not only for understanding the genetic basis of DS but also for uncovering gene functions that may be critical in general human biology and disease. The insights gained will inform the rational design of therapeutic strategies—whether pharmacological, genetic, or cellular—tailored to specific developmental windows and cellular contexts.</w:t>
      </w:r>
    </w:p>
    <w:p w14:paraId="65D046DC" w14:textId="77777777" w:rsidR="00FD54BF" w:rsidRPr="009F211E" w:rsidRDefault="00FD54BF">
      <w:pPr>
        <w:rPr>
          <w:rFonts w:ascii="Arial" w:hAnsi="Arial" w:cs="Arial"/>
        </w:rPr>
      </w:pPr>
    </w:p>
    <w:p w14:paraId="2F42934F" w14:textId="519CD1D2" w:rsidR="00FD54BF" w:rsidRPr="009F211E" w:rsidRDefault="009F211E">
      <w:pPr>
        <w:rPr>
          <w:rFonts w:ascii="Arial" w:hAnsi="Arial" w:cs="Arial"/>
        </w:rPr>
      </w:pPr>
      <w:r w:rsidRPr="0087758B">
        <w:rPr>
          <w:rFonts w:ascii="Arial" w:hAnsi="Arial" w:cs="Arial"/>
          <w:b/>
          <w:bCs/>
        </w:rPr>
        <w:lastRenderedPageBreak/>
        <w:t>PUBLICATIONS</w:t>
      </w:r>
      <w:r w:rsidR="00FD54BF" w:rsidRPr="009F211E">
        <w:rPr>
          <w:rFonts w:ascii="Arial" w:hAnsi="Arial" w:cs="Arial"/>
        </w:rPr>
        <w:t xml:space="preserve"> (</w:t>
      </w:r>
      <w:r w:rsidR="0078474D">
        <w:rPr>
          <w:rFonts w:ascii="Arial" w:hAnsi="Arial" w:cs="Arial"/>
        </w:rPr>
        <w:t>only</w:t>
      </w:r>
      <w:r w:rsidR="00FD54BF" w:rsidRPr="009F211E">
        <w:rPr>
          <w:rFonts w:ascii="Arial" w:hAnsi="Arial" w:cs="Arial"/>
        </w:rPr>
        <w:t xml:space="preserve"> 5 </w:t>
      </w:r>
      <w:r w:rsidR="0078474D">
        <w:rPr>
          <w:rFonts w:ascii="Arial" w:hAnsi="Arial" w:cs="Arial"/>
        </w:rPr>
        <w:t xml:space="preserve">of the </w:t>
      </w:r>
      <w:r w:rsidRPr="009F211E">
        <w:rPr>
          <w:rFonts w:ascii="Arial" w:hAnsi="Arial" w:cs="Arial"/>
        </w:rPr>
        <w:t>last 5 years</w:t>
      </w:r>
      <w:r w:rsidR="00FD54BF" w:rsidRPr="009F211E">
        <w:rPr>
          <w:rFonts w:ascii="Arial" w:hAnsi="Arial" w:cs="Arial"/>
        </w:rPr>
        <w:t>)</w:t>
      </w:r>
      <w:r w:rsidR="005E3DA9">
        <w:rPr>
          <w:rFonts w:ascii="Arial" w:hAnsi="Arial" w:cs="Arial"/>
        </w:rPr>
        <w:t xml:space="preserve"> </w:t>
      </w:r>
    </w:p>
    <w:p w14:paraId="507887D0" w14:textId="082A34A4" w:rsidR="00DD3655" w:rsidRDefault="00DD3655" w:rsidP="00FD54BF">
      <w:pPr>
        <w:pBdr>
          <w:top w:val="single" w:sz="4" w:space="1" w:color="auto"/>
          <w:left w:val="single" w:sz="4" w:space="4" w:color="auto"/>
          <w:bottom w:val="single" w:sz="4" w:space="1" w:color="auto"/>
          <w:right w:val="single" w:sz="4" w:space="4" w:color="auto"/>
        </w:pBdr>
        <w:rPr>
          <w:rFonts w:ascii="Arial" w:hAnsi="Arial" w:cs="Arial"/>
        </w:rPr>
      </w:pPr>
      <w:r w:rsidRPr="00DD3655">
        <w:rPr>
          <w:rFonts w:ascii="Arial" w:hAnsi="Arial" w:cs="Arial"/>
        </w:rPr>
        <w:t xml:space="preserve">Mollo N, Scognamiglio R, Conti A, Paladino S, Nitsch L, Izzo A. Genetics and Molecular Basis of Congenital Heart Defects in Down Syndrome: Role of Extracellular Matrix Regulation. Int J Mol Sci. 2023 Feb 2;24(3):2918. doi: 10.3390/ijms24032918. </w:t>
      </w:r>
    </w:p>
    <w:p w14:paraId="686F76B5" w14:textId="77777777" w:rsidR="00DD3655" w:rsidRDefault="00DD3655" w:rsidP="00FD54BF">
      <w:pPr>
        <w:pBdr>
          <w:top w:val="single" w:sz="4" w:space="1" w:color="auto"/>
          <w:left w:val="single" w:sz="4" w:space="4" w:color="auto"/>
          <w:bottom w:val="single" w:sz="4" w:space="1" w:color="auto"/>
          <w:right w:val="single" w:sz="4" w:space="4" w:color="auto"/>
        </w:pBdr>
        <w:rPr>
          <w:rFonts w:ascii="Arial" w:hAnsi="Arial" w:cs="Arial"/>
        </w:rPr>
      </w:pPr>
    </w:p>
    <w:p w14:paraId="7690AFF8" w14:textId="563238C4" w:rsidR="00DD3655" w:rsidRDefault="00DD3655" w:rsidP="00FD54BF">
      <w:pPr>
        <w:pBdr>
          <w:top w:val="single" w:sz="4" w:space="1" w:color="auto"/>
          <w:left w:val="single" w:sz="4" w:space="4" w:color="auto"/>
          <w:bottom w:val="single" w:sz="4" w:space="1" w:color="auto"/>
          <w:right w:val="single" w:sz="4" w:space="4" w:color="auto"/>
        </w:pBdr>
        <w:rPr>
          <w:rFonts w:ascii="Arial" w:hAnsi="Arial" w:cs="Arial"/>
        </w:rPr>
      </w:pPr>
      <w:r w:rsidRPr="00DD3655">
        <w:rPr>
          <w:rFonts w:ascii="Arial" w:hAnsi="Arial" w:cs="Arial"/>
        </w:rPr>
        <w:t xml:space="preserve">De Rosa L, Fasano D, Zerillo L, Valente V, Izzo A, Mollo N, Amodio G, Polishchuk E, Polishchuk R, Melone MAB, Criscuolo C, Conti A, Nitsch L, Remondelli P, Pierantoni GM, Paladino S. Down Syndrome Fetal Fibroblasts Display Alterations of Endosomal Trafficking Possibly due to SYNJ1 Overexpression. Front Genet. 2022 May 13;13:867989. doi: 10.3389/fgene.2022.867989. </w:t>
      </w:r>
    </w:p>
    <w:p w14:paraId="691A759D" w14:textId="77777777" w:rsidR="00DD3655" w:rsidRDefault="00DD3655" w:rsidP="00FD54BF">
      <w:pPr>
        <w:pBdr>
          <w:top w:val="single" w:sz="4" w:space="1" w:color="auto"/>
          <w:left w:val="single" w:sz="4" w:space="4" w:color="auto"/>
          <w:bottom w:val="single" w:sz="4" w:space="1" w:color="auto"/>
          <w:right w:val="single" w:sz="4" w:space="4" w:color="auto"/>
        </w:pBdr>
        <w:rPr>
          <w:rFonts w:ascii="Arial" w:hAnsi="Arial" w:cs="Arial"/>
        </w:rPr>
      </w:pPr>
    </w:p>
    <w:p w14:paraId="18F9531C" w14:textId="5FB89217" w:rsidR="00DD3655" w:rsidRDefault="00DD3655" w:rsidP="00FD54BF">
      <w:pPr>
        <w:pBdr>
          <w:top w:val="single" w:sz="4" w:space="1" w:color="auto"/>
          <w:left w:val="single" w:sz="4" w:space="4" w:color="auto"/>
          <w:bottom w:val="single" w:sz="4" w:space="1" w:color="auto"/>
          <w:right w:val="single" w:sz="4" w:space="4" w:color="auto"/>
        </w:pBdr>
        <w:rPr>
          <w:rFonts w:ascii="Arial" w:hAnsi="Arial" w:cs="Arial"/>
        </w:rPr>
      </w:pPr>
      <w:r w:rsidRPr="00DD3655">
        <w:rPr>
          <w:rFonts w:ascii="Arial" w:hAnsi="Arial" w:cs="Arial"/>
        </w:rPr>
        <w:t xml:space="preserve">Mollo N, Aurilia M, Scognamiglio R, Zerillo L, Cicatiello R, Bonfiglio F, Pagano P, Paladino S, Conti A, Nitsch L, Izzo A. Overexpression of the Hsa21 Transcription Factor RUNX1 Modulates the Extracellular Matrix in Trisomy 21 Cells. Front Genet. 2022 Mar 10;13:824922. doi: 10.3389/fgene.2022.824922. </w:t>
      </w:r>
    </w:p>
    <w:p w14:paraId="47389C3E" w14:textId="77777777" w:rsidR="00DD3655" w:rsidRDefault="00DD3655" w:rsidP="00FD54BF">
      <w:pPr>
        <w:pBdr>
          <w:top w:val="single" w:sz="4" w:space="1" w:color="auto"/>
          <w:left w:val="single" w:sz="4" w:space="4" w:color="auto"/>
          <w:bottom w:val="single" w:sz="4" w:space="1" w:color="auto"/>
          <w:right w:val="single" w:sz="4" w:space="4" w:color="auto"/>
        </w:pBdr>
        <w:rPr>
          <w:rFonts w:ascii="Arial" w:hAnsi="Arial" w:cs="Arial"/>
        </w:rPr>
      </w:pPr>
    </w:p>
    <w:p w14:paraId="7FEB8BF3" w14:textId="46C962DB" w:rsidR="00DD3655" w:rsidRPr="009F211E" w:rsidRDefault="00DD3655" w:rsidP="00FD54BF">
      <w:pPr>
        <w:pBdr>
          <w:top w:val="single" w:sz="4" w:space="1" w:color="auto"/>
          <w:left w:val="single" w:sz="4" w:space="4" w:color="auto"/>
          <w:bottom w:val="single" w:sz="4" w:space="1" w:color="auto"/>
          <w:right w:val="single" w:sz="4" w:space="4" w:color="auto"/>
        </w:pBdr>
        <w:rPr>
          <w:rFonts w:ascii="Arial" w:hAnsi="Arial" w:cs="Arial"/>
        </w:rPr>
      </w:pPr>
      <w:r w:rsidRPr="00DD3655">
        <w:rPr>
          <w:rFonts w:ascii="Arial" w:hAnsi="Arial" w:cs="Arial"/>
        </w:rPr>
        <w:t xml:space="preserve">Mollo N, Esposito M, Aurilia M, Scognamiglio R, Accarino R, Bonfiglio F, Cicatiello R, Charalambous M, Procaccini C, Micillo T, Genesio R, Calì G, Secondo A, Paladino S, Matarese G, De Vita G, Conti A, Nitsch L, Izzo A. Human Trisomic iPSCs from Down Syndrome Fibroblasts Manifest Mitochondrial Alterations Early during Neuronal Differentiation. Biology (Basel). 2021 Jun 30;10(7):609. doi: 10.3390/biology10070609. </w:t>
      </w:r>
    </w:p>
    <w:p w14:paraId="09B54786" w14:textId="77777777" w:rsidR="00FD54BF" w:rsidRPr="009F211E" w:rsidRDefault="00FD54BF" w:rsidP="00FD54BF">
      <w:pPr>
        <w:pBdr>
          <w:top w:val="single" w:sz="4" w:space="1" w:color="auto"/>
          <w:left w:val="single" w:sz="4" w:space="4" w:color="auto"/>
          <w:bottom w:val="single" w:sz="4" w:space="1" w:color="auto"/>
          <w:right w:val="single" w:sz="4" w:space="4" w:color="auto"/>
        </w:pBdr>
        <w:rPr>
          <w:rFonts w:ascii="Arial" w:hAnsi="Arial" w:cs="Arial"/>
        </w:rPr>
      </w:pPr>
    </w:p>
    <w:p w14:paraId="43510159" w14:textId="77777777" w:rsidR="00FD54BF" w:rsidRPr="009F211E" w:rsidRDefault="00FD54BF" w:rsidP="00FD54BF">
      <w:pPr>
        <w:pBdr>
          <w:top w:val="single" w:sz="4" w:space="1" w:color="auto"/>
          <w:left w:val="single" w:sz="4" w:space="4" w:color="auto"/>
          <w:bottom w:val="single" w:sz="4" w:space="1" w:color="auto"/>
          <w:right w:val="single" w:sz="4" w:space="4" w:color="auto"/>
        </w:pBdr>
        <w:rPr>
          <w:rFonts w:ascii="Arial" w:hAnsi="Arial" w:cs="Arial"/>
        </w:rPr>
      </w:pPr>
    </w:p>
    <w:p w14:paraId="6730BE66" w14:textId="77777777" w:rsidR="00FD54BF" w:rsidRPr="009F211E" w:rsidRDefault="00FD54BF">
      <w:pPr>
        <w:rPr>
          <w:rFonts w:ascii="Arial" w:hAnsi="Arial" w:cs="Arial"/>
        </w:rPr>
      </w:pPr>
    </w:p>
    <w:p w14:paraId="123A8834" w14:textId="36E257FB" w:rsidR="00FD54BF" w:rsidRPr="009F211E" w:rsidRDefault="009F211E">
      <w:pPr>
        <w:rPr>
          <w:rFonts w:ascii="Arial" w:hAnsi="Arial" w:cs="Arial"/>
        </w:rPr>
      </w:pPr>
      <w:r w:rsidRPr="0087758B">
        <w:rPr>
          <w:rFonts w:ascii="Arial" w:hAnsi="Arial" w:cs="Arial"/>
          <w:b/>
          <w:bCs/>
        </w:rPr>
        <w:t>FUNDING</w:t>
      </w:r>
      <w:r w:rsidRPr="009F211E">
        <w:rPr>
          <w:rFonts w:ascii="Arial" w:hAnsi="Arial" w:cs="Arial"/>
        </w:rPr>
        <w:t xml:space="preserve"> </w:t>
      </w:r>
    </w:p>
    <w:p w14:paraId="67A2AD50" w14:textId="24560BA8" w:rsidR="005310A5" w:rsidRPr="009F211E" w:rsidRDefault="00DD3655" w:rsidP="00FD54BF">
      <w:pPr>
        <w:pBdr>
          <w:top w:val="single" w:sz="4" w:space="1" w:color="auto"/>
          <w:left w:val="single" w:sz="4" w:space="4" w:color="auto"/>
          <w:bottom w:val="single" w:sz="4" w:space="1" w:color="auto"/>
          <w:right w:val="single" w:sz="4" w:space="4" w:color="auto"/>
        </w:pBdr>
        <w:rPr>
          <w:rFonts w:ascii="Arial" w:hAnsi="Arial" w:cs="Arial"/>
        </w:rPr>
      </w:pPr>
      <w:r w:rsidRPr="00DD3655">
        <w:rPr>
          <w:rFonts w:ascii="Arial" w:hAnsi="Arial" w:cs="Arial"/>
        </w:rPr>
        <w:t>MUR PRIN PNRR 2022</w:t>
      </w:r>
      <w:r>
        <w:rPr>
          <w:rFonts w:ascii="Arial" w:hAnsi="Arial" w:cs="Arial"/>
        </w:rPr>
        <w:t>:</w:t>
      </w:r>
      <w:r w:rsidRPr="00DD3655">
        <w:rPr>
          <w:rFonts w:ascii="Arial" w:hAnsi="Arial" w:cs="Arial"/>
        </w:rPr>
        <w:t xml:space="preserve"> “Assessing the role of chromosome 21 genes in Down syndrome neuronal alterations through selective attenuation of their expression”</w:t>
      </w:r>
      <w:r>
        <w:rPr>
          <w:rFonts w:ascii="Arial" w:hAnsi="Arial" w:cs="Arial"/>
        </w:rPr>
        <w:t xml:space="preserve"> – 2023-2025</w:t>
      </w:r>
    </w:p>
    <w:p w14:paraId="7E677424" w14:textId="77777777" w:rsidR="005310A5" w:rsidRPr="009F211E" w:rsidRDefault="005310A5" w:rsidP="005310A5">
      <w:pPr>
        <w:rPr>
          <w:rFonts w:ascii="Arial" w:hAnsi="Arial" w:cs="Arial"/>
        </w:rPr>
      </w:pPr>
    </w:p>
    <w:p w14:paraId="4916F18C" w14:textId="77777777" w:rsidR="00FD54BF" w:rsidRPr="009F211E" w:rsidRDefault="00FD54BF">
      <w:pPr>
        <w:rPr>
          <w:rFonts w:ascii="Arial" w:hAnsi="Arial" w:cs="Arial"/>
        </w:rPr>
      </w:pPr>
    </w:p>
    <w:sectPr w:rsidR="00FD54BF" w:rsidRPr="009F211E"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4BF"/>
    <w:rsid w:val="00005835"/>
    <w:rsid w:val="000508FF"/>
    <w:rsid w:val="00053C76"/>
    <w:rsid w:val="00055E10"/>
    <w:rsid w:val="00131DC0"/>
    <w:rsid w:val="002551F4"/>
    <w:rsid w:val="002A361A"/>
    <w:rsid w:val="003A4757"/>
    <w:rsid w:val="003B2D20"/>
    <w:rsid w:val="004076E2"/>
    <w:rsid w:val="004A0B63"/>
    <w:rsid w:val="005310A5"/>
    <w:rsid w:val="00573C15"/>
    <w:rsid w:val="00590E7E"/>
    <w:rsid w:val="005E3DA9"/>
    <w:rsid w:val="006A4406"/>
    <w:rsid w:val="0078474D"/>
    <w:rsid w:val="0087758B"/>
    <w:rsid w:val="00880BA1"/>
    <w:rsid w:val="008830F8"/>
    <w:rsid w:val="009879E9"/>
    <w:rsid w:val="009F211E"/>
    <w:rsid w:val="00B20A2C"/>
    <w:rsid w:val="00C12D2B"/>
    <w:rsid w:val="00CE0F96"/>
    <w:rsid w:val="00DD3655"/>
    <w:rsid w:val="00EA525D"/>
    <w:rsid w:val="00F1484C"/>
    <w:rsid w:val="00F877D5"/>
    <w:rsid w:val="00FD54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character" w:styleId="Collegamentoipertestuale">
    <w:name w:val="Hyperlink"/>
    <w:basedOn w:val="Carpredefinitoparagrafo"/>
    <w:uiPriority w:val="99"/>
    <w:unhideWhenUsed/>
    <w:rsid w:val="0078474D"/>
    <w:rPr>
      <w:color w:val="467886" w:themeColor="hyperlink"/>
      <w:u w:val="single"/>
    </w:rPr>
  </w:style>
  <w:style w:type="character" w:styleId="Menzionenonrisolta">
    <w:name w:val="Unresolved Mention"/>
    <w:basedOn w:val="Carpredefinitoparagrafo"/>
    <w:uiPriority w:val="99"/>
    <w:rsid w:val="00784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ocenti.uni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708</Words>
  <Characters>4037</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FRANCESCA CARLOMAGNO</cp:lastModifiedBy>
  <cp:revision>2</cp:revision>
  <dcterms:created xsi:type="dcterms:W3CDTF">2025-11-11T11:30:00Z</dcterms:created>
  <dcterms:modified xsi:type="dcterms:W3CDTF">2025-11-11T11:30:00Z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