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BB16A" w14:textId="019B98D7" w:rsidR="004015CF" w:rsidRDefault="00000000">
      <w:pPr>
        <w:pStyle w:val="Titolo1"/>
        <w:ind w:left="-5"/>
      </w:pPr>
      <w:r>
        <w:t xml:space="preserve">PI </w:t>
      </w:r>
    </w:p>
    <w:p w14:paraId="29B1E1F0" w14:textId="4B8E22B5" w:rsidR="004015CF" w:rsidRDefault="006A7F5E">
      <w:pPr>
        <w:pBdr>
          <w:top w:val="single" w:sz="4" w:space="0" w:color="000000"/>
          <w:left w:val="single" w:sz="4" w:space="0" w:color="000000"/>
          <w:bottom w:val="single" w:sz="4" w:space="0" w:color="000000"/>
          <w:right w:val="single" w:sz="4" w:space="0" w:color="000000"/>
        </w:pBdr>
        <w:spacing w:after="5" w:line="249" w:lineRule="auto"/>
        <w:ind w:left="-5" w:hanging="10"/>
        <w:jc w:val="both"/>
      </w:pPr>
      <w:hyperlink r:id="rId5" w:anchor="!/professor/464142494f43415454414e454f43545446424138334c30344638333957/riferimenti" w:history="1">
        <w:r w:rsidRPr="006A7F5E">
          <w:rPr>
            <w:rStyle w:val="Collegamentoipertestuale"/>
            <w:rFonts w:ascii="Arial" w:eastAsia="Arial" w:hAnsi="Arial" w:cs="Arial"/>
            <w:sz w:val="24"/>
          </w:rPr>
          <w:t>Fabio Cattaneo</w:t>
        </w:r>
      </w:hyperlink>
      <w:r>
        <w:rPr>
          <w:rFonts w:ascii="Arial" w:eastAsia="Arial" w:hAnsi="Arial" w:cs="Arial"/>
          <w:sz w:val="24"/>
        </w:rPr>
        <w:t xml:space="preserve">, Associate Professor </w:t>
      </w:r>
    </w:p>
    <w:p w14:paraId="28357108" w14:textId="77777777" w:rsidR="004015CF" w:rsidRDefault="00000000">
      <w:pPr>
        <w:spacing w:after="0"/>
      </w:pPr>
      <w:r>
        <w:rPr>
          <w:rFonts w:ascii="Arial" w:eastAsia="Arial" w:hAnsi="Arial" w:cs="Arial"/>
          <w:sz w:val="24"/>
        </w:rPr>
        <w:t xml:space="preserve"> </w:t>
      </w:r>
    </w:p>
    <w:p w14:paraId="253E0644" w14:textId="75602E4E" w:rsidR="004015CF" w:rsidRDefault="00000000">
      <w:pPr>
        <w:spacing w:after="4"/>
        <w:ind w:left="-5" w:hanging="10"/>
      </w:pPr>
      <w:r>
        <w:rPr>
          <w:rFonts w:ascii="Arial" w:eastAsia="Arial" w:hAnsi="Arial" w:cs="Arial"/>
          <w:b/>
          <w:sz w:val="24"/>
        </w:rPr>
        <w:t>GROUP</w:t>
      </w:r>
      <w:r>
        <w:rPr>
          <w:rFonts w:ascii="Arial" w:eastAsia="Arial" w:hAnsi="Arial" w:cs="Arial"/>
          <w:sz w:val="24"/>
        </w:rPr>
        <w:t xml:space="preserve"> </w:t>
      </w:r>
    </w:p>
    <w:p w14:paraId="578327AF" w14:textId="1174812F" w:rsidR="004015CF" w:rsidRDefault="006A7F5E">
      <w:pPr>
        <w:pBdr>
          <w:top w:val="single" w:sz="4" w:space="0" w:color="000000"/>
          <w:left w:val="single" w:sz="4" w:space="0" w:color="000000"/>
          <w:bottom w:val="single" w:sz="4" w:space="0" w:color="000000"/>
          <w:right w:val="single" w:sz="4" w:space="0" w:color="000000"/>
        </w:pBdr>
        <w:spacing w:after="5" w:line="249" w:lineRule="auto"/>
        <w:ind w:left="-5" w:hanging="10"/>
        <w:jc w:val="both"/>
      </w:pPr>
      <w:hyperlink r:id="rId6" w:anchor="!/professor/524f534152494f414d4d454e444f4c414d4d4e52535235364530364638333946/riferimenti" w:history="1">
        <w:r w:rsidRPr="006A7F5E">
          <w:rPr>
            <w:rStyle w:val="Collegamentoipertestuale"/>
            <w:rFonts w:ascii="Arial" w:eastAsia="Arial" w:hAnsi="Arial" w:cs="Arial"/>
            <w:sz w:val="24"/>
          </w:rPr>
          <w:t>Rosario Ammendola</w:t>
        </w:r>
      </w:hyperlink>
      <w:r>
        <w:rPr>
          <w:rFonts w:ascii="Arial" w:eastAsia="Arial" w:hAnsi="Arial" w:cs="Arial"/>
          <w:sz w:val="24"/>
        </w:rPr>
        <w:t>, Full Professor</w:t>
      </w:r>
    </w:p>
    <w:p w14:paraId="5D963B44" w14:textId="61107A79" w:rsidR="004015CF" w:rsidRDefault="00000000">
      <w:pPr>
        <w:pBdr>
          <w:top w:val="single" w:sz="4" w:space="0" w:color="000000"/>
          <w:left w:val="single" w:sz="4" w:space="0" w:color="000000"/>
          <w:bottom w:val="single" w:sz="4" w:space="0" w:color="000000"/>
          <w:right w:val="single" w:sz="4" w:space="0" w:color="000000"/>
        </w:pBdr>
        <w:spacing w:after="5" w:line="249" w:lineRule="auto"/>
        <w:ind w:left="-5" w:hanging="10"/>
        <w:jc w:val="both"/>
      </w:pPr>
      <w:r>
        <w:rPr>
          <w:rFonts w:ascii="Arial" w:eastAsia="Arial" w:hAnsi="Arial" w:cs="Arial"/>
          <w:sz w:val="24"/>
        </w:rPr>
        <w:t>Chiara Brignola</w:t>
      </w:r>
      <w:r w:rsidR="006A7F5E">
        <w:rPr>
          <w:rFonts w:ascii="Arial" w:eastAsia="Arial" w:hAnsi="Arial" w:cs="Arial"/>
          <w:sz w:val="24"/>
        </w:rPr>
        <w:t>,</w:t>
      </w:r>
      <w:r>
        <w:rPr>
          <w:rFonts w:ascii="Arial" w:eastAsia="Arial" w:hAnsi="Arial" w:cs="Arial"/>
          <w:sz w:val="24"/>
        </w:rPr>
        <w:t xml:space="preserve"> Post-Doc </w:t>
      </w:r>
    </w:p>
    <w:p w14:paraId="676C7F9C" w14:textId="4F01066C" w:rsidR="004015CF" w:rsidRDefault="00000000">
      <w:pPr>
        <w:pBdr>
          <w:top w:val="single" w:sz="4" w:space="0" w:color="000000"/>
          <w:left w:val="single" w:sz="4" w:space="0" w:color="000000"/>
          <w:bottom w:val="single" w:sz="4" w:space="0" w:color="000000"/>
          <w:right w:val="single" w:sz="4" w:space="0" w:color="000000"/>
        </w:pBdr>
        <w:spacing w:after="5" w:line="249" w:lineRule="auto"/>
        <w:ind w:left="-5" w:hanging="10"/>
        <w:jc w:val="both"/>
      </w:pPr>
      <w:r>
        <w:rPr>
          <w:rFonts w:ascii="Arial" w:eastAsia="Arial" w:hAnsi="Arial" w:cs="Arial"/>
          <w:sz w:val="24"/>
        </w:rPr>
        <w:t>Myrhiam Cassese</w:t>
      </w:r>
      <w:r w:rsidR="006A7F5E">
        <w:rPr>
          <w:rFonts w:ascii="Arial" w:eastAsia="Arial" w:hAnsi="Arial" w:cs="Arial"/>
          <w:sz w:val="24"/>
        </w:rPr>
        <w:t xml:space="preserve">, </w:t>
      </w:r>
      <w:r>
        <w:rPr>
          <w:rFonts w:ascii="Arial" w:eastAsia="Arial" w:hAnsi="Arial" w:cs="Arial"/>
          <w:sz w:val="24"/>
        </w:rPr>
        <w:t>PhD</w:t>
      </w:r>
      <w:r w:rsidR="006A7F5E">
        <w:rPr>
          <w:rFonts w:ascii="Arial" w:eastAsia="Arial" w:hAnsi="Arial" w:cs="Arial"/>
          <w:sz w:val="24"/>
        </w:rPr>
        <w:t xml:space="preserve"> student</w:t>
      </w:r>
      <w:r>
        <w:rPr>
          <w:rFonts w:ascii="Arial" w:eastAsia="Arial" w:hAnsi="Arial" w:cs="Arial"/>
          <w:sz w:val="24"/>
        </w:rPr>
        <w:t xml:space="preserve"> </w:t>
      </w:r>
    </w:p>
    <w:p w14:paraId="486870B1" w14:textId="77777777" w:rsidR="004015CF" w:rsidRDefault="00000000">
      <w:pPr>
        <w:spacing w:after="0"/>
      </w:pPr>
      <w:r>
        <w:rPr>
          <w:rFonts w:ascii="Arial" w:eastAsia="Arial" w:hAnsi="Arial" w:cs="Arial"/>
          <w:sz w:val="24"/>
        </w:rPr>
        <w:t xml:space="preserve"> </w:t>
      </w:r>
    </w:p>
    <w:p w14:paraId="69B81B27" w14:textId="77777777" w:rsidR="004015CF" w:rsidRDefault="00000000">
      <w:pPr>
        <w:spacing w:after="7"/>
        <w:ind w:left="-5" w:hanging="10"/>
      </w:pPr>
      <w:r>
        <w:rPr>
          <w:rFonts w:ascii="Arial" w:eastAsia="Arial" w:hAnsi="Arial" w:cs="Arial"/>
          <w:b/>
          <w:sz w:val="24"/>
        </w:rPr>
        <w:t xml:space="preserve">RESEARCH FIELD </w:t>
      </w:r>
    </w:p>
    <w:p w14:paraId="56F693BD" w14:textId="2AE17425" w:rsidR="004015CF" w:rsidRPr="008C4A12" w:rsidRDefault="006A7F5E">
      <w:pPr>
        <w:pBdr>
          <w:top w:val="single" w:sz="4" w:space="0" w:color="000000"/>
          <w:left w:val="single" w:sz="4" w:space="0" w:color="000000"/>
          <w:bottom w:val="single" w:sz="4" w:space="0" w:color="000000"/>
          <w:right w:val="single" w:sz="4" w:space="0" w:color="000000"/>
        </w:pBdr>
        <w:spacing w:after="5" w:line="249" w:lineRule="auto"/>
        <w:ind w:left="-5" w:hanging="10"/>
        <w:jc w:val="both"/>
      </w:pPr>
      <w:r w:rsidRPr="008C4A12">
        <w:rPr>
          <w:rFonts w:ascii="Arial" w:eastAsia="Arial" w:hAnsi="Arial" w:cs="Arial"/>
          <w:sz w:val="24"/>
        </w:rPr>
        <w:t>Role of Formyl peptide receptors in regulating metabolism and resistance to therapies in cancer cells</w:t>
      </w:r>
    </w:p>
    <w:p w14:paraId="4C8E9B11" w14:textId="77777777" w:rsidR="004015CF" w:rsidRDefault="00000000">
      <w:pPr>
        <w:spacing w:after="0"/>
      </w:pPr>
      <w:r>
        <w:rPr>
          <w:rFonts w:ascii="Arial" w:eastAsia="Arial" w:hAnsi="Arial" w:cs="Arial"/>
          <w:sz w:val="24"/>
        </w:rPr>
        <w:t xml:space="preserve"> </w:t>
      </w:r>
    </w:p>
    <w:p w14:paraId="15DFBA1D" w14:textId="49E63671" w:rsidR="004015CF" w:rsidRDefault="00000000">
      <w:pPr>
        <w:pStyle w:val="Titolo1"/>
        <w:ind w:left="-5"/>
      </w:pPr>
      <w:r>
        <w:t>KEYWORDS</w:t>
      </w:r>
      <w:r>
        <w:rPr>
          <w:b w:val="0"/>
        </w:rPr>
        <w:t xml:space="preserve"> </w:t>
      </w:r>
    </w:p>
    <w:p w14:paraId="42F3A355" w14:textId="77777777" w:rsidR="004015CF" w:rsidRDefault="00000000">
      <w:pPr>
        <w:pBdr>
          <w:top w:val="single" w:sz="4" w:space="0" w:color="000000"/>
          <w:left w:val="single" w:sz="4" w:space="0" w:color="000000"/>
          <w:bottom w:val="single" w:sz="4" w:space="0" w:color="000000"/>
          <w:right w:val="single" w:sz="4" w:space="0" w:color="000000"/>
        </w:pBdr>
        <w:spacing w:after="5" w:line="249" w:lineRule="auto"/>
        <w:ind w:left="-5" w:hanging="10"/>
        <w:jc w:val="both"/>
      </w:pPr>
      <w:r>
        <w:rPr>
          <w:rFonts w:ascii="Arial" w:eastAsia="Arial" w:hAnsi="Arial" w:cs="Arial"/>
          <w:sz w:val="24"/>
        </w:rPr>
        <w:t xml:space="preserve">Cell signaling; Cell metabolism; Reactive oxygen species; NADPH oxidase; Formyl Peptide Receptors </w:t>
      </w:r>
    </w:p>
    <w:p w14:paraId="17CDC195" w14:textId="77777777" w:rsidR="004015CF" w:rsidRDefault="00000000">
      <w:pPr>
        <w:spacing w:after="0"/>
      </w:pPr>
      <w:r>
        <w:rPr>
          <w:rFonts w:ascii="Arial" w:eastAsia="Arial" w:hAnsi="Arial" w:cs="Arial"/>
          <w:sz w:val="24"/>
        </w:rPr>
        <w:t xml:space="preserve"> </w:t>
      </w:r>
    </w:p>
    <w:p w14:paraId="4B883277" w14:textId="1FC375BA" w:rsidR="004015CF" w:rsidRDefault="00000000">
      <w:pPr>
        <w:spacing w:after="4"/>
        <w:ind w:left="-5" w:hanging="10"/>
      </w:pPr>
      <w:r>
        <w:rPr>
          <w:rFonts w:ascii="Arial" w:eastAsia="Arial" w:hAnsi="Arial" w:cs="Arial"/>
          <w:b/>
          <w:sz w:val="24"/>
        </w:rPr>
        <w:t>ABSTRACT</w:t>
      </w:r>
      <w:r>
        <w:rPr>
          <w:rFonts w:ascii="Arial" w:eastAsia="Arial" w:hAnsi="Arial" w:cs="Arial"/>
          <w:sz w:val="24"/>
        </w:rPr>
        <w:t xml:space="preserve"> </w:t>
      </w:r>
    </w:p>
    <w:p w14:paraId="4304E80E" w14:textId="77777777" w:rsidR="004015CF" w:rsidRDefault="00000000">
      <w:pPr>
        <w:pBdr>
          <w:top w:val="single" w:sz="4" w:space="0" w:color="000000"/>
          <w:left w:val="single" w:sz="4" w:space="0" w:color="000000"/>
          <w:bottom w:val="single" w:sz="4" w:space="0" w:color="000000"/>
          <w:right w:val="single" w:sz="4" w:space="0" w:color="000000"/>
        </w:pBdr>
        <w:spacing w:after="5" w:line="249" w:lineRule="auto"/>
        <w:ind w:left="-5" w:hanging="10"/>
        <w:jc w:val="both"/>
      </w:pPr>
      <w:r>
        <w:rPr>
          <w:rFonts w:ascii="Arial" w:eastAsia="Arial" w:hAnsi="Arial" w:cs="Arial"/>
          <w:sz w:val="24"/>
        </w:rPr>
        <w:t xml:space="preserve">The overall goal with our research is to understand G-protein Coupled Receptors (GPCRs) activation and signaling in physiopathological processes. Among the numerous GPCRs, we are interested in the identification of signaling cascades triggered by Formyl Peptide Receptors family (FPRs) in different cell type and characterization of their functional role in not-phagocytic cells. </w:t>
      </w:r>
    </w:p>
    <w:p w14:paraId="2E473F59" w14:textId="77777777" w:rsidR="004015CF" w:rsidRDefault="00000000">
      <w:pPr>
        <w:pBdr>
          <w:top w:val="single" w:sz="4" w:space="0" w:color="000000"/>
          <w:left w:val="single" w:sz="4" w:space="0" w:color="000000"/>
          <w:bottom w:val="single" w:sz="4" w:space="0" w:color="000000"/>
          <w:right w:val="single" w:sz="4" w:space="0" w:color="000000"/>
        </w:pBdr>
        <w:spacing w:after="5" w:line="249" w:lineRule="auto"/>
        <w:ind w:left="-5" w:hanging="10"/>
        <w:jc w:val="both"/>
      </w:pPr>
      <w:r>
        <w:rPr>
          <w:rFonts w:ascii="Arial" w:eastAsia="Arial" w:hAnsi="Arial" w:cs="Arial"/>
          <w:sz w:val="24"/>
        </w:rPr>
        <w:t>FPRs are ubiquitously expressed and are unique GPCRs with functional promiscuity since, depending on the nature the ligand, they can drive both pro- or anti-inflammatory responses. FPRs, due to their unique binding properties and interaction with structurally diverse ligands, interact with a wide range of compounds belonging to different chemical structures such as lipoxin A4 (LXA</w:t>
      </w:r>
      <w:r>
        <w:rPr>
          <w:rFonts w:ascii="Arial" w:eastAsia="Arial" w:hAnsi="Arial" w:cs="Arial"/>
          <w:sz w:val="24"/>
          <w:vertAlign w:val="subscript"/>
        </w:rPr>
        <w:t>4</w:t>
      </w:r>
      <w:r>
        <w:rPr>
          <w:rFonts w:ascii="Arial" w:eastAsia="Arial" w:hAnsi="Arial" w:cs="Arial"/>
          <w:sz w:val="24"/>
        </w:rPr>
        <w:t>), resolvin D1 (RvD1), annexin A1 (AnxA1), serum amyloid A (SAA), βamyloid peptide 42 (Aβ</w:t>
      </w:r>
      <w:r>
        <w:rPr>
          <w:rFonts w:ascii="Arial" w:eastAsia="Arial" w:hAnsi="Arial" w:cs="Arial"/>
          <w:sz w:val="24"/>
          <w:vertAlign w:val="subscript"/>
        </w:rPr>
        <w:t>42</w:t>
      </w:r>
      <w:r>
        <w:rPr>
          <w:rFonts w:ascii="Arial" w:eastAsia="Arial" w:hAnsi="Arial" w:cs="Arial"/>
          <w:sz w:val="24"/>
        </w:rPr>
        <w:t>) and Helicobacter pylori-derived peptide (Hp</w:t>
      </w:r>
      <w:r>
        <w:rPr>
          <w:rFonts w:ascii="Arial" w:eastAsia="Arial" w:hAnsi="Arial" w:cs="Arial"/>
          <w:sz w:val="24"/>
          <w:vertAlign w:val="subscript"/>
        </w:rPr>
        <w:t>2-20</w:t>
      </w:r>
      <w:r>
        <w:rPr>
          <w:rFonts w:ascii="Arial" w:eastAsia="Arial" w:hAnsi="Arial" w:cs="Arial"/>
          <w:sz w:val="24"/>
        </w:rPr>
        <w:t xml:space="preserve">). Notably, FPRs participate not only in host defense and regulation of inflammatory response but also in the migration, proliferation, NADPH oxidase-dependent reactive oxygen species (ROS) production and in several physio-pathological processes such as chronic inflammation, amyloidosis, cancer progression and neurodegenerative disease.  </w:t>
      </w:r>
    </w:p>
    <w:p w14:paraId="7E560023" w14:textId="77777777" w:rsidR="004015CF" w:rsidRDefault="00000000">
      <w:pPr>
        <w:pBdr>
          <w:top w:val="single" w:sz="4" w:space="0" w:color="000000"/>
          <w:left w:val="single" w:sz="4" w:space="0" w:color="000000"/>
          <w:bottom w:val="single" w:sz="4" w:space="0" w:color="000000"/>
          <w:right w:val="single" w:sz="4" w:space="0" w:color="000000"/>
        </w:pBdr>
        <w:spacing w:after="5" w:line="249" w:lineRule="auto"/>
        <w:ind w:left="-5" w:hanging="10"/>
        <w:jc w:val="both"/>
      </w:pPr>
      <w:r>
        <w:rPr>
          <w:rFonts w:ascii="Arial" w:eastAsia="Arial" w:hAnsi="Arial" w:cs="Arial"/>
          <w:sz w:val="24"/>
        </w:rPr>
        <w:t xml:space="preserve">In the past we have focused on the characterization of tyrosine kinase receptor transactivation mechanisms mediated by FPRs and the identification of the role of ROS generated by NADPH oxidase in the modulation of molecular transactivation and signaling mechanisms. </w:t>
      </w:r>
    </w:p>
    <w:p w14:paraId="44503181" w14:textId="77777777" w:rsidR="004015CF" w:rsidRDefault="00000000">
      <w:pPr>
        <w:pBdr>
          <w:top w:val="single" w:sz="4" w:space="0" w:color="000000"/>
          <w:left w:val="single" w:sz="4" w:space="0" w:color="000000"/>
          <w:bottom w:val="single" w:sz="4" w:space="0" w:color="000000"/>
          <w:right w:val="single" w:sz="4" w:space="0" w:color="000000"/>
        </w:pBdr>
        <w:spacing w:after="5" w:line="249" w:lineRule="auto"/>
        <w:ind w:left="-5" w:hanging="10"/>
        <w:jc w:val="both"/>
      </w:pPr>
      <w:r>
        <w:rPr>
          <w:rFonts w:ascii="Arial" w:eastAsia="Arial" w:hAnsi="Arial" w:cs="Arial"/>
          <w:sz w:val="24"/>
        </w:rPr>
        <w:t xml:space="preserve">More recently we have switched our focus: i) to disclose the contribute of FPRs to cell metabolism; ii) to unravel the role of FPRs in cancer therapies resistance and cell metabolism reprogramming; and iii) to identify new signaling pathways triggered by FPRs and ROS generated by NADPH oxidase involved in modulation of proliferation, migration and cellular energy metabolism. </w:t>
      </w:r>
    </w:p>
    <w:p w14:paraId="53880631" w14:textId="77777777" w:rsidR="004015CF" w:rsidRDefault="00000000">
      <w:pPr>
        <w:spacing w:after="0"/>
      </w:pPr>
      <w:r>
        <w:rPr>
          <w:rFonts w:ascii="Arial" w:eastAsia="Arial" w:hAnsi="Arial" w:cs="Arial"/>
          <w:sz w:val="24"/>
        </w:rPr>
        <w:t xml:space="preserve"> </w:t>
      </w:r>
    </w:p>
    <w:p w14:paraId="77155FB3" w14:textId="77777777" w:rsidR="006A7F5E" w:rsidRDefault="00000000" w:rsidP="006A7F5E">
      <w:pPr>
        <w:spacing w:after="4"/>
        <w:ind w:left="-5" w:hanging="10"/>
        <w:rPr>
          <w:rFonts w:ascii="Arial" w:eastAsia="Arial" w:hAnsi="Arial" w:cs="Arial"/>
          <w:sz w:val="24"/>
        </w:rPr>
      </w:pPr>
      <w:r>
        <w:rPr>
          <w:rFonts w:ascii="Arial" w:eastAsia="Arial" w:hAnsi="Arial" w:cs="Arial"/>
          <w:b/>
          <w:sz w:val="24"/>
        </w:rPr>
        <w:t>PUBLICATIONS</w:t>
      </w:r>
      <w:r>
        <w:rPr>
          <w:rFonts w:ascii="Arial" w:eastAsia="Arial" w:hAnsi="Arial" w:cs="Arial"/>
          <w:sz w:val="24"/>
        </w:rPr>
        <w:t xml:space="preserve"> (</w:t>
      </w:r>
      <w:r w:rsidR="006A7F5E">
        <w:rPr>
          <w:rFonts w:ascii="Arial" w:eastAsia="Arial" w:hAnsi="Arial" w:cs="Arial"/>
          <w:sz w:val="24"/>
        </w:rPr>
        <w:t>only</w:t>
      </w:r>
      <w:r>
        <w:rPr>
          <w:rFonts w:ascii="Arial" w:eastAsia="Arial" w:hAnsi="Arial" w:cs="Arial"/>
          <w:sz w:val="24"/>
        </w:rPr>
        <w:t xml:space="preserve"> 5 </w:t>
      </w:r>
      <w:r w:rsidR="006A7F5E">
        <w:rPr>
          <w:rFonts w:ascii="Arial" w:eastAsia="Arial" w:hAnsi="Arial" w:cs="Arial"/>
          <w:sz w:val="24"/>
        </w:rPr>
        <w:t xml:space="preserve">in the </w:t>
      </w:r>
      <w:r>
        <w:rPr>
          <w:rFonts w:ascii="Arial" w:eastAsia="Arial" w:hAnsi="Arial" w:cs="Arial"/>
          <w:sz w:val="24"/>
        </w:rPr>
        <w:t xml:space="preserve">last 5 years) </w:t>
      </w:r>
    </w:p>
    <w:p w14:paraId="074EA3B1" w14:textId="77777777" w:rsidR="006A7F5E" w:rsidRDefault="006A7F5E" w:rsidP="006A7F5E">
      <w:pPr>
        <w:spacing w:after="4"/>
        <w:ind w:left="-5" w:hanging="10"/>
        <w:rPr>
          <w:rFonts w:ascii="Arial" w:eastAsia="Arial" w:hAnsi="Arial" w:cs="Arial"/>
          <w:sz w:val="24"/>
        </w:rPr>
      </w:pPr>
    </w:p>
    <w:p w14:paraId="6791A280" w14:textId="0D62018C" w:rsidR="004015CF" w:rsidRPr="00683D69" w:rsidRDefault="00683D69" w:rsidP="00683D69">
      <w:pPr>
        <w:pBdr>
          <w:top w:val="single" w:sz="4" w:space="2" w:color="000000"/>
          <w:left w:val="single" w:sz="4" w:space="0" w:color="000000"/>
          <w:right w:val="single" w:sz="4" w:space="0" w:color="000000"/>
        </w:pBdr>
        <w:spacing w:after="5" w:line="250" w:lineRule="auto"/>
        <w:ind w:left="-15"/>
        <w:rPr>
          <w:rFonts w:ascii="Arial" w:eastAsia="Arial" w:hAnsi="Arial" w:cs="Arial"/>
          <w:sz w:val="24"/>
        </w:rPr>
      </w:pPr>
      <w:r>
        <w:rPr>
          <w:rFonts w:ascii="Arial" w:eastAsia="Arial" w:hAnsi="Arial" w:cs="Arial"/>
          <w:sz w:val="24"/>
        </w:rPr>
        <w:t xml:space="preserve">- </w:t>
      </w:r>
      <w:r w:rsidR="006A7F5E" w:rsidRPr="006A7F5E">
        <w:rPr>
          <w:rFonts w:ascii="Arial" w:eastAsia="Arial" w:hAnsi="Arial" w:cs="Arial"/>
          <w:sz w:val="24"/>
        </w:rPr>
        <w:t xml:space="preserve">Pecchillo Cimmino, T., Punziano, C., Panico, I., Petrone, Z., Cassese, M., Faraonio, R., </w:t>
      </w:r>
      <w:r>
        <w:rPr>
          <w:rFonts w:ascii="Arial" w:eastAsia="Arial" w:hAnsi="Arial" w:cs="Arial"/>
          <w:sz w:val="24"/>
        </w:rPr>
        <w:t xml:space="preserve">Barresi, V., Esposito, G., Ammendola, R., &amp; Cattaneo, F. (2024). Formyl-Peptide Receptor </w:t>
      </w:r>
      <w:r>
        <w:rPr>
          <w:rFonts w:ascii="Arial" w:eastAsia="Arial" w:hAnsi="Arial" w:cs="Arial"/>
          <w:sz w:val="24"/>
        </w:rPr>
        <w:lastRenderedPageBreak/>
        <w:t xml:space="preserve">2 Signaling Modulates SLC7A11/xCT Expression and Activity in Tumor Cells. Antioxidants (Basel, Switzerland), 13(5), 552. </w:t>
      </w:r>
      <w:r>
        <w:rPr>
          <w:rFonts w:ascii="Arial" w:eastAsia="Arial" w:hAnsi="Arial" w:cs="Arial"/>
          <w:color w:val="457786"/>
          <w:sz w:val="24"/>
          <w:u w:val="single" w:color="457786"/>
        </w:rPr>
        <w:t>https://doi.org/10.3390/antiox13050552</w:t>
      </w:r>
      <w:r>
        <w:rPr>
          <w:rFonts w:ascii="Arial" w:eastAsia="Arial" w:hAnsi="Arial" w:cs="Arial"/>
          <w:sz w:val="24"/>
        </w:rPr>
        <w:t xml:space="preserve">. </w:t>
      </w:r>
    </w:p>
    <w:p w14:paraId="5914004F" w14:textId="77777777" w:rsidR="004015CF" w:rsidRDefault="00000000" w:rsidP="00683D69">
      <w:pPr>
        <w:pBdr>
          <w:top w:val="single" w:sz="4" w:space="2" w:color="000000"/>
          <w:left w:val="single" w:sz="4" w:space="0" w:color="000000"/>
          <w:right w:val="single" w:sz="4" w:space="0" w:color="000000"/>
        </w:pBdr>
        <w:spacing w:after="0"/>
        <w:ind w:left="-15"/>
      </w:pPr>
      <w:r>
        <w:rPr>
          <w:rFonts w:ascii="Arial" w:eastAsia="Arial" w:hAnsi="Arial" w:cs="Arial"/>
          <w:sz w:val="24"/>
        </w:rPr>
        <w:t xml:space="preserve"> </w:t>
      </w:r>
    </w:p>
    <w:p w14:paraId="6F5CC18B" w14:textId="05D6A6A8" w:rsidR="004015CF" w:rsidRDefault="00683D69" w:rsidP="00683D69">
      <w:pPr>
        <w:pBdr>
          <w:left w:val="single" w:sz="4" w:space="0" w:color="000000"/>
          <w:bottom w:val="single" w:sz="4" w:space="0" w:color="000000"/>
          <w:right w:val="single" w:sz="4" w:space="0" w:color="000000"/>
        </w:pBdr>
        <w:spacing w:after="5" w:line="249" w:lineRule="auto"/>
        <w:ind w:left="-15"/>
      </w:pPr>
      <w:r>
        <w:rPr>
          <w:rFonts w:ascii="Arial" w:eastAsia="Arial" w:hAnsi="Arial" w:cs="Arial"/>
          <w:sz w:val="24"/>
        </w:rPr>
        <w:t xml:space="preserve">- Pecchillo Cimmino, T., Panico, I., Scarano, S., Stornaiuolo, M., Esposito, G., Ammendola, </w:t>
      </w:r>
    </w:p>
    <w:p w14:paraId="5479F272" w14:textId="77777777" w:rsidR="004015CF" w:rsidRDefault="00000000" w:rsidP="00683D69">
      <w:pPr>
        <w:pBdr>
          <w:left w:val="single" w:sz="4" w:space="0" w:color="000000"/>
          <w:bottom w:val="single" w:sz="4" w:space="0" w:color="000000"/>
          <w:right w:val="single" w:sz="4" w:space="0" w:color="000000"/>
        </w:pBdr>
        <w:spacing w:after="5" w:line="249" w:lineRule="auto"/>
        <w:ind w:left="-15"/>
      </w:pPr>
      <w:r>
        <w:rPr>
          <w:rFonts w:ascii="Arial" w:eastAsia="Arial" w:hAnsi="Arial" w:cs="Arial"/>
          <w:sz w:val="24"/>
        </w:rPr>
        <w:t xml:space="preserve">R., &amp; Cattaneo, F. (2024). Formyl Peptide Receptor 2-Dependent cPLA2 and 5-LOX </w:t>
      </w:r>
    </w:p>
    <w:p w14:paraId="6556F07B" w14:textId="77777777" w:rsidR="004015CF" w:rsidRDefault="00000000" w:rsidP="00683D69">
      <w:pPr>
        <w:pBdr>
          <w:left w:val="single" w:sz="4" w:space="0" w:color="000000"/>
          <w:bottom w:val="single" w:sz="4" w:space="0" w:color="000000"/>
          <w:right w:val="single" w:sz="4" w:space="0" w:color="000000"/>
        </w:pBdr>
        <w:spacing w:after="5" w:line="249" w:lineRule="auto"/>
        <w:ind w:left="-15"/>
      </w:pPr>
      <w:r>
        <w:rPr>
          <w:rFonts w:ascii="Arial" w:eastAsia="Arial" w:hAnsi="Arial" w:cs="Arial"/>
          <w:sz w:val="24"/>
        </w:rPr>
        <w:t xml:space="preserve">Activation Requires a Functional NADPH Oxidase. Antioxidants (Basel, Switzerland), </w:t>
      </w:r>
    </w:p>
    <w:p w14:paraId="53547C31" w14:textId="77777777" w:rsidR="004015CF" w:rsidRDefault="00000000" w:rsidP="00683D69">
      <w:pPr>
        <w:pBdr>
          <w:left w:val="single" w:sz="4" w:space="0" w:color="000000"/>
          <w:bottom w:val="single" w:sz="4" w:space="0" w:color="000000"/>
          <w:right w:val="single" w:sz="4" w:space="0" w:color="000000"/>
        </w:pBdr>
        <w:spacing w:after="0"/>
        <w:ind w:left="-15"/>
      </w:pPr>
      <w:r>
        <w:rPr>
          <w:rFonts w:ascii="Arial" w:eastAsia="Arial" w:hAnsi="Arial" w:cs="Arial"/>
          <w:sz w:val="24"/>
        </w:rPr>
        <w:t xml:space="preserve">13(2), 220. </w:t>
      </w:r>
      <w:r>
        <w:rPr>
          <w:rFonts w:ascii="Arial" w:eastAsia="Arial" w:hAnsi="Arial" w:cs="Arial"/>
          <w:color w:val="457786"/>
          <w:sz w:val="24"/>
          <w:u w:val="single" w:color="457786"/>
        </w:rPr>
        <w:t>https://doi.org/10.3390/antiox13020220</w:t>
      </w:r>
      <w:r>
        <w:rPr>
          <w:rFonts w:ascii="Arial" w:eastAsia="Arial" w:hAnsi="Arial" w:cs="Arial"/>
          <w:sz w:val="24"/>
        </w:rPr>
        <w:t xml:space="preserve"> </w:t>
      </w:r>
    </w:p>
    <w:p w14:paraId="6B2D5803" w14:textId="77777777" w:rsidR="004015CF" w:rsidRDefault="00000000" w:rsidP="00683D69">
      <w:pPr>
        <w:pBdr>
          <w:left w:val="single" w:sz="4" w:space="0" w:color="000000"/>
          <w:bottom w:val="single" w:sz="4" w:space="0" w:color="000000"/>
          <w:right w:val="single" w:sz="4" w:space="0" w:color="000000"/>
        </w:pBdr>
        <w:spacing w:after="0"/>
        <w:ind w:left="-15"/>
      </w:pPr>
      <w:r>
        <w:rPr>
          <w:rFonts w:ascii="Arial" w:eastAsia="Arial" w:hAnsi="Arial" w:cs="Arial"/>
          <w:sz w:val="24"/>
        </w:rPr>
        <w:t xml:space="preserve"> </w:t>
      </w:r>
    </w:p>
    <w:p w14:paraId="459660BA" w14:textId="0149EB1B" w:rsidR="004015CF" w:rsidRDefault="00683D69" w:rsidP="00683D69">
      <w:pPr>
        <w:pBdr>
          <w:left w:val="single" w:sz="4" w:space="0" w:color="000000"/>
          <w:bottom w:val="single" w:sz="4" w:space="0" w:color="000000"/>
          <w:right w:val="single" w:sz="4" w:space="0" w:color="000000"/>
        </w:pBdr>
        <w:spacing w:after="5" w:line="249" w:lineRule="auto"/>
        <w:ind w:left="-15"/>
      </w:pPr>
      <w:r>
        <w:rPr>
          <w:rFonts w:ascii="Arial" w:eastAsia="Arial" w:hAnsi="Arial" w:cs="Arial"/>
          <w:sz w:val="24"/>
        </w:rPr>
        <w:t xml:space="preserve">- Pecchillo Cimmino, T., Ammendola, R., Cattaneo, F., &amp; Esposito, G. (2023). NOX Dependent ROS Generation and Cell Metabolism. International journal of molecular sciences, 24(3), 2086. https://doi.org/10.3390/ijms24032086 </w:t>
      </w:r>
    </w:p>
    <w:p w14:paraId="3509A027" w14:textId="77777777" w:rsidR="004015CF" w:rsidRDefault="00000000" w:rsidP="00683D69">
      <w:pPr>
        <w:pBdr>
          <w:left w:val="single" w:sz="4" w:space="0" w:color="000000"/>
          <w:bottom w:val="single" w:sz="4" w:space="0" w:color="000000"/>
          <w:right w:val="single" w:sz="4" w:space="0" w:color="000000"/>
        </w:pBdr>
        <w:spacing w:after="0"/>
        <w:ind w:left="-15"/>
      </w:pPr>
      <w:r>
        <w:rPr>
          <w:rFonts w:ascii="Arial" w:eastAsia="Arial" w:hAnsi="Arial" w:cs="Arial"/>
          <w:sz w:val="24"/>
        </w:rPr>
        <w:t xml:space="preserve"> </w:t>
      </w:r>
    </w:p>
    <w:p w14:paraId="4D51D72D" w14:textId="58575973" w:rsidR="004015CF" w:rsidRDefault="00683D69" w:rsidP="00683D69">
      <w:pPr>
        <w:pBdr>
          <w:left w:val="single" w:sz="4" w:space="0" w:color="000000"/>
          <w:bottom w:val="single" w:sz="4" w:space="0" w:color="000000"/>
          <w:right w:val="single" w:sz="4" w:space="0" w:color="000000"/>
        </w:pBdr>
        <w:spacing w:after="5" w:line="249" w:lineRule="auto"/>
        <w:ind w:left="-15"/>
      </w:pPr>
      <w:r>
        <w:rPr>
          <w:rFonts w:ascii="Arial" w:eastAsia="Arial" w:hAnsi="Arial" w:cs="Arial"/>
          <w:sz w:val="24"/>
        </w:rPr>
        <w:t xml:space="preserve">- Pecchillo Cimmino, T, Pagano, E., Stornaiuolo, M., Esposito, G., Ammendola, R., &amp; Cattaneo, F. (2023). Formyl-peptide receptor 2 signalling triggers aerobic metabolism of glucose through Nox2-dependent modulation of pyruvate dehydrogenase activity. Open biology, 13(10), 230336. </w:t>
      </w:r>
      <w:r>
        <w:rPr>
          <w:rFonts w:ascii="Arial" w:eastAsia="Arial" w:hAnsi="Arial" w:cs="Arial"/>
          <w:color w:val="457786"/>
          <w:sz w:val="24"/>
          <w:u w:val="single" w:color="457786"/>
        </w:rPr>
        <w:t>https://doi.org/10.1098/rsob.230336</w:t>
      </w:r>
      <w:r>
        <w:rPr>
          <w:rFonts w:ascii="Arial" w:eastAsia="Arial" w:hAnsi="Arial" w:cs="Arial"/>
          <w:sz w:val="24"/>
        </w:rPr>
        <w:t xml:space="preserve"> </w:t>
      </w:r>
    </w:p>
    <w:p w14:paraId="57B8BF79" w14:textId="77777777" w:rsidR="004015CF" w:rsidRDefault="00000000" w:rsidP="00683D69">
      <w:pPr>
        <w:pBdr>
          <w:left w:val="single" w:sz="4" w:space="0" w:color="000000"/>
          <w:bottom w:val="single" w:sz="4" w:space="0" w:color="000000"/>
          <w:right w:val="single" w:sz="4" w:space="0" w:color="000000"/>
        </w:pBdr>
        <w:spacing w:after="0"/>
        <w:ind w:left="-15"/>
      </w:pPr>
      <w:r>
        <w:rPr>
          <w:rFonts w:ascii="Arial" w:eastAsia="Arial" w:hAnsi="Arial" w:cs="Arial"/>
          <w:sz w:val="24"/>
        </w:rPr>
        <w:t xml:space="preserve"> </w:t>
      </w:r>
    </w:p>
    <w:p w14:paraId="659674E6" w14:textId="2CB7CE54" w:rsidR="004015CF" w:rsidRDefault="00683D69" w:rsidP="00683D69">
      <w:pPr>
        <w:pBdr>
          <w:left w:val="single" w:sz="4" w:space="0" w:color="000000"/>
          <w:bottom w:val="single" w:sz="4" w:space="0" w:color="000000"/>
          <w:right w:val="single" w:sz="4" w:space="0" w:color="000000"/>
        </w:pBdr>
        <w:spacing w:after="5" w:line="249" w:lineRule="auto"/>
        <w:ind w:left="-15"/>
      </w:pPr>
      <w:r>
        <w:rPr>
          <w:rFonts w:ascii="Arial" w:eastAsia="Arial" w:hAnsi="Arial" w:cs="Arial"/>
          <w:sz w:val="24"/>
        </w:rPr>
        <w:t xml:space="preserve">- Pecchillo Cimmino, T., Pagano, E., Stornaiuolo, M., Esposito, G., Ammendola, R., &amp; Cattaneo, F. (2022). Formyl-Peptide Receptor 2 Signaling Redirects Glucose and Glutamine into Anabolic Pathways in Metabolic Reprogramming of Lung Cancer Cells. </w:t>
      </w:r>
    </w:p>
    <w:p w14:paraId="580F83A1" w14:textId="3A0BB1FE" w:rsidR="004015CF" w:rsidRDefault="00000000" w:rsidP="00683D69">
      <w:pPr>
        <w:pBdr>
          <w:left w:val="single" w:sz="4" w:space="0" w:color="000000"/>
          <w:bottom w:val="single" w:sz="4" w:space="0" w:color="000000"/>
          <w:right w:val="single" w:sz="4" w:space="0" w:color="000000"/>
        </w:pBdr>
        <w:spacing w:after="5" w:line="249" w:lineRule="auto"/>
        <w:ind w:left="-15"/>
      </w:pPr>
      <w:r>
        <w:rPr>
          <w:rFonts w:ascii="Arial" w:eastAsia="Arial" w:hAnsi="Arial" w:cs="Arial"/>
          <w:sz w:val="24"/>
        </w:rPr>
        <w:t xml:space="preserve">Antioxidants (Basel, Switzerland), 11(9), 1692. https://doi.org/10.3390/antiox11091692  </w:t>
      </w:r>
    </w:p>
    <w:p w14:paraId="66399CCA" w14:textId="77777777" w:rsidR="004015CF" w:rsidRDefault="00000000">
      <w:pPr>
        <w:spacing w:after="0"/>
      </w:pPr>
      <w:r>
        <w:rPr>
          <w:rFonts w:ascii="Arial" w:eastAsia="Arial" w:hAnsi="Arial" w:cs="Arial"/>
          <w:sz w:val="24"/>
        </w:rPr>
        <w:t xml:space="preserve"> </w:t>
      </w:r>
    </w:p>
    <w:p w14:paraId="4B40E166" w14:textId="288830E5" w:rsidR="004015CF" w:rsidRDefault="00000000">
      <w:pPr>
        <w:spacing w:after="4"/>
        <w:ind w:left="-5" w:hanging="10"/>
      </w:pPr>
      <w:r>
        <w:rPr>
          <w:rFonts w:ascii="Arial" w:eastAsia="Arial" w:hAnsi="Arial" w:cs="Arial"/>
          <w:b/>
          <w:sz w:val="24"/>
        </w:rPr>
        <w:t>FUNDING</w:t>
      </w:r>
      <w:r>
        <w:rPr>
          <w:rFonts w:ascii="Arial" w:eastAsia="Arial" w:hAnsi="Arial" w:cs="Arial"/>
          <w:sz w:val="24"/>
        </w:rPr>
        <w:t xml:space="preserve"> </w:t>
      </w:r>
    </w:p>
    <w:p w14:paraId="50C9342F" w14:textId="34FFD3B8" w:rsidR="006A7F5E" w:rsidRDefault="006A7F5E" w:rsidP="006A7F5E">
      <w:pPr>
        <w:pBdr>
          <w:top w:val="single" w:sz="4" w:space="0" w:color="000000"/>
          <w:left w:val="single" w:sz="4" w:space="0" w:color="000000"/>
          <w:bottom w:val="single" w:sz="4" w:space="0" w:color="000000"/>
          <w:right w:val="single" w:sz="4" w:space="0" w:color="000000"/>
        </w:pBdr>
        <w:spacing w:after="5" w:line="249" w:lineRule="auto"/>
        <w:ind w:left="142" w:hanging="142"/>
        <w:jc w:val="both"/>
        <w:rPr>
          <w:rFonts w:ascii="Arial" w:eastAsia="Arial" w:hAnsi="Arial" w:cs="Arial"/>
          <w:sz w:val="24"/>
        </w:rPr>
      </w:pPr>
      <w:r w:rsidRPr="006A7F5E">
        <w:rPr>
          <w:rFonts w:ascii="Arial" w:eastAsia="Arial" w:hAnsi="Arial" w:cs="Arial"/>
          <w:sz w:val="24"/>
        </w:rPr>
        <w:t>-</w:t>
      </w:r>
      <w:r>
        <w:rPr>
          <w:rFonts w:ascii="Arial" w:eastAsia="Arial" w:hAnsi="Arial" w:cs="Arial"/>
          <w:sz w:val="24"/>
        </w:rPr>
        <w:t xml:space="preserve"> </w:t>
      </w:r>
      <w:r w:rsidRPr="006A7F5E">
        <w:rPr>
          <w:rFonts w:ascii="Arial" w:eastAsia="Arial" w:hAnsi="Arial" w:cs="Arial"/>
          <w:sz w:val="24"/>
        </w:rPr>
        <w:t>Unione Europea–Next Generation EU-PRIN 2022 PNRR, "Tackling primary induction f</w:t>
      </w:r>
      <w:r>
        <w:rPr>
          <w:rFonts w:ascii="Arial" w:eastAsia="Arial" w:hAnsi="Arial" w:cs="Arial"/>
          <w:sz w:val="24"/>
        </w:rPr>
        <w:t xml:space="preserve"> f</w:t>
      </w:r>
      <w:r w:rsidRPr="006A7F5E">
        <w:rPr>
          <w:rFonts w:ascii="Arial" w:eastAsia="Arial" w:hAnsi="Arial" w:cs="Arial"/>
          <w:sz w:val="24"/>
        </w:rPr>
        <w:t>ailure in childhood acute myeloid leukaemia by a deeper knowledge of molecular haematopoiesis: novel markers and therapeutic targets”, November 2023 – February 2026.</w:t>
      </w:r>
    </w:p>
    <w:p w14:paraId="2E769E74" w14:textId="77777777" w:rsidR="006A7F5E" w:rsidRDefault="006A7F5E" w:rsidP="006A7F5E">
      <w:pPr>
        <w:pBdr>
          <w:top w:val="single" w:sz="4" w:space="0" w:color="000000"/>
          <w:left w:val="single" w:sz="4" w:space="0" w:color="000000"/>
          <w:bottom w:val="single" w:sz="4" w:space="0" w:color="000000"/>
          <w:right w:val="single" w:sz="4" w:space="0" w:color="000000"/>
        </w:pBdr>
        <w:spacing w:after="5" w:line="249" w:lineRule="auto"/>
        <w:ind w:left="142" w:hanging="142"/>
        <w:jc w:val="both"/>
        <w:rPr>
          <w:rFonts w:ascii="Arial" w:eastAsia="Arial" w:hAnsi="Arial" w:cs="Arial"/>
          <w:sz w:val="24"/>
        </w:rPr>
      </w:pPr>
    </w:p>
    <w:p w14:paraId="696D77BB" w14:textId="65DC9DB8" w:rsidR="004015CF" w:rsidRPr="006A7F5E" w:rsidRDefault="006A7F5E" w:rsidP="006A7F5E">
      <w:pPr>
        <w:pBdr>
          <w:top w:val="single" w:sz="4" w:space="0" w:color="000000"/>
          <w:left w:val="single" w:sz="4" w:space="0" w:color="000000"/>
          <w:bottom w:val="single" w:sz="4" w:space="0" w:color="000000"/>
          <w:right w:val="single" w:sz="4" w:space="0" w:color="000000"/>
        </w:pBdr>
        <w:spacing w:after="5" w:line="249" w:lineRule="auto"/>
        <w:ind w:left="142" w:hanging="142"/>
        <w:jc w:val="both"/>
        <w:rPr>
          <w:rFonts w:ascii="Arial" w:eastAsia="Arial" w:hAnsi="Arial" w:cs="Arial"/>
          <w:sz w:val="24"/>
        </w:rPr>
      </w:pPr>
      <w:r>
        <w:rPr>
          <w:rFonts w:ascii="Arial" w:eastAsia="Arial" w:hAnsi="Arial" w:cs="Arial"/>
          <w:sz w:val="24"/>
        </w:rPr>
        <w:t xml:space="preserve">- Programma di Ricerca di Interesse Nazionale (PRIN 2022): “Molecular mechanisms underlying aneuploidy-dependent cancerogenesis: new targets for transcriptional therapeutics. December 2024 - February 2027. </w:t>
      </w:r>
    </w:p>
    <w:p w14:paraId="27972C75" w14:textId="77777777" w:rsidR="004015CF" w:rsidRDefault="00000000">
      <w:pPr>
        <w:spacing w:after="0"/>
      </w:pPr>
      <w:r>
        <w:rPr>
          <w:rFonts w:ascii="Arial" w:eastAsia="Arial" w:hAnsi="Arial" w:cs="Arial"/>
          <w:sz w:val="24"/>
        </w:rPr>
        <w:t xml:space="preserve"> </w:t>
      </w:r>
    </w:p>
    <w:p w14:paraId="6D915114" w14:textId="77777777" w:rsidR="004015CF" w:rsidRDefault="00000000">
      <w:pPr>
        <w:spacing w:after="0"/>
      </w:pPr>
      <w:r>
        <w:rPr>
          <w:rFonts w:ascii="Arial" w:eastAsia="Arial" w:hAnsi="Arial" w:cs="Arial"/>
          <w:sz w:val="24"/>
        </w:rPr>
        <w:t xml:space="preserve"> </w:t>
      </w:r>
    </w:p>
    <w:sectPr w:rsidR="004015CF">
      <w:pgSz w:w="11900" w:h="16840"/>
      <w:pgMar w:top="1424" w:right="1128" w:bottom="1568"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B02F9"/>
    <w:multiLevelType w:val="hybridMultilevel"/>
    <w:tmpl w:val="98FCA114"/>
    <w:lvl w:ilvl="0" w:tplc="EF926CEA">
      <w:start w:val="1"/>
      <w:numFmt w:val="bullet"/>
      <w:lvlText w:val="-"/>
      <w:lvlJc w:val="left"/>
      <w:pPr>
        <w:ind w:left="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A0130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1AE2D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521B5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40886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D65D8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00A3CB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1405E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44FFB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D1320B3"/>
    <w:multiLevelType w:val="multilevel"/>
    <w:tmpl w:val="98FCA114"/>
    <w:styleLink w:val="Elencocorrente1"/>
    <w:lvl w:ilvl="0">
      <w:start w:val="1"/>
      <w:numFmt w:val="bullet"/>
      <w:lvlText w:val="-"/>
      <w:lvlJc w:val="left"/>
      <w:pPr>
        <w:ind w:left="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327317705">
    <w:abstractNumId w:val="0"/>
  </w:num>
  <w:num w:numId="2" w16cid:durableId="442262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5CF"/>
    <w:rsid w:val="00131DC0"/>
    <w:rsid w:val="004015CF"/>
    <w:rsid w:val="00683D69"/>
    <w:rsid w:val="006A7F5E"/>
    <w:rsid w:val="0073761C"/>
    <w:rsid w:val="007E4F31"/>
    <w:rsid w:val="008830F8"/>
    <w:rsid w:val="008C4A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10C1DFE"/>
  <w15:docId w15:val="{08B301B3-B50E-6B47-9AA4-D083DA88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7" w:line="259" w:lineRule="auto"/>
      <w:ind w:left="10" w:hanging="10"/>
      <w:outlineLvl w:val="0"/>
    </w:pPr>
    <w:rPr>
      <w:rFonts w:ascii="Arial" w:eastAsia="Arial" w:hAnsi="Arial" w:cs="Arial"/>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4"/>
    </w:rPr>
  </w:style>
  <w:style w:type="character" w:styleId="Collegamentoipertestuale">
    <w:name w:val="Hyperlink"/>
    <w:basedOn w:val="Carpredefinitoparagrafo"/>
    <w:uiPriority w:val="99"/>
    <w:unhideWhenUsed/>
    <w:rsid w:val="006A7F5E"/>
    <w:rPr>
      <w:color w:val="467886" w:themeColor="hyperlink"/>
      <w:u w:val="single"/>
    </w:rPr>
  </w:style>
  <w:style w:type="character" w:styleId="Menzionenonrisolta">
    <w:name w:val="Unresolved Mention"/>
    <w:basedOn w:val="Carpredefinitoparagrafo"/>
    <w:uiPriority w:val="99"/>
    <w:semiHidden/>
    <w:unhideWhenUsed/>
    <w:rsid w:val="006A7F5E"/>
    <w:rPr>
      <w:color w:val="605E5C"/>
      <w:shd w:val="clear" w:color="auto" w:fill="E1DFDD"/>
    </w:rPr>
  </w:style>
  <w:style w:type="character" w:styleId="Collegamentovisitato">
    <w:name w:val="FollowedHyperlink"/>
    <w:basedOn w:val="Carpredefinitoparagrafo"/>
    <w:uiPriority w:val="99"/>
    <w:semiHidden/>
    <w:unhideWhenUsed/>
    <w:rsid w:val="006A7F5E"/>
    <w:rPr>
      <w:color w:val="96607D" w:themeColor="followedHyperlink"/>
      <w:u w:val="single"/>
    </w:rPr>
  </w:style>
  <w:style w:type="paragraph" w:styleId="Paragrafoelenco">
    <w:name w:val="List Paragraph"/>
    <w:basedOn w:val="Normale"/>
    <w:uiPriority w:val="34"/>
    <w:qFormat/>
    <w:rsid w:val="006A7F5E"/>
    <w:pPr>
      <w:ind w:left="720"/>
      <w:contextualSpacing/>
    </w:pPr>
  </w:style>
  <w:style w:type="numbering" w:customStyle="1" w:styleId="Elencocorrente1">
    <w:name w:val="Elenco corrente1"/>
    <w:uiPriority w:val="99"/>
    <w:rsid w:val="006A7F5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centi.unina.it/" TargetMode="External"/><Relationship Id="rId5" Type="http://schemas.openxmlformats.org/officeDocument/2006/relationships/hyperlink" Target="https://www.docenti.unin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3916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Microsoft Word - Scheda_ATTIVITA' SCIENTIFICA DMMBM_Fabio Cattaneo.docx</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Scheda_ATTIVITA' SCIENTIFICA DMMBM_Fabio Cattaneo.docx</dc:title>
  <dc:subject/>
  <dc:creator>FRANCESCA CARLOMAGNO</dc:creator>
  <cp:keywords/>
  <cp:lastModifiedBy>FRANCESCA CARLOMAGNO</cp:lastModifiedBy>
  <cp:revision>2</cp:revision>
  <dcterms:created xsi:type="dcterms:W3CDTF">2025-11-17T17:07:00Z</dcterms:created>
  <dcterms:modified xsi:type="dcterms:W3CDTF">2025-11-17T17:07:00Z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2025-10-24T15:18:44Z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1b08a921-837a-487a-a8fe-d10ed056c8a1</vt:lpwstr>
  </property>
  <property fmtid="{D5CDD505-2E9C-101B-9397-08002B2CF9AE}" pid="8" name="MSIP_Label_2ad0b24d-6422-44b0-b3de-abb3a9e8c81a_ContentBits">
    <vt:lpwstr>0</vt:lpwstr>
  </property>
  <property fmtid="{D5CDD505-2E9C-101B-9397-08002B2CF9AE}" pid="9" name="MSIP_Label_2ad0b24d-6422-44b0-b3de-abb3a9e8c81a_Tag">
    <vt:lpwstr>50, 3, 0, 1</vt:lpwstr>
  </property>
</Properties>
</file>